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67" w:rsidRPr="00676C99" w:rsidRDefault="00D75967" w:rsidP="00676C99">
      <w:pPr>
        <w:pStyle w:val="a9"/>
        <w:tabs>
          <w:tab w:val="right" w:pos="7667"/>
        </w:tabs>
        <w:ind w:right="-870"/>
        <w:jc w:val="right"/>
        <w:rPr>
          <w:szCs w:val="24"/>
        </w:rPr>
      </w:pPr>
      <w:bookmarkStart w:id="0" w:name="_GoBack"/>
      <w:bookmarkEnd w:id="0"/>
      <w:r w:rsidRPr="00676C99">
        <w:rPr>
          <w:szCs w:val="24"/>
        </w:rPr>
        <w:t>НЕОФИЦИАЛЬНЫЙ ПЕРЕВОД</w:t>
      </w:r>
    </w:p>
    <w:p w:rsidR="00676C99" w:rsidRDefault="00D75967" w:rsidP="00676C99">
      <w:pPr>
        <w:pStyle w:val="a9"/>
        <w:tabs>
          <w:tab w:val="right" w:pos="7667"/>
        </w:tabs>
        <w:ind w:right="-870"/>
        <w:jc w:val="right"/>
        <w:rPr>
          <w:szCs w:val="24"/>
        </w:rPr>
      </w:pPr>
      <w:r w:rsidRPr="00676C99">
        <w:rPr>
          <w:szCs w:val="24"/>
        </w:rPr>
        <w:t xml:space="preserve">АУТЕНТИЧНЫЙ ТЕКСТ РАЗМЕЩЕН </w:t>
      </w:r>
    </w:p>
    <w:p w:rsidR="00676C99" w:rsidRDefault="00D75967" w:rsidP="00676C99">
      <w:pPr>
        <w:pStyle w:val="a9"/>
        <w:tabs>
          <w:tab w:val="right" w:pos="7667"/>
        </w:tabs>
        <w:ind w:right="-870"/>
        <w:jc w:val="right"/>
        <w:rPr>
          <w:caps/>
          <w:szCs w:val="24"/>
        </w:rPr>
      </w:pPr>
      <w:r w:rsidRPr="00676C99">
        <w:rPr>
          <w:szCs w:val="24"/>
        </w:rPr>
        <w:t xml:space="preserve">НА САЙТЕ </w:t>
      </w:r>
      <w:r w:rsidRPr="00676C99">
        <w:rPr>
          <w:caps/>
          <w:szCs w:val="24"/>
        </w:rPr>
        <w:t xml:space="preserve">Европейского Суда </w:t>
      </w:r>
    </w:p>
    <w:p w:rsidR="00676C99" w:rsidRDefault="00D75967" w:rsidP="00676C99">
      <w:pPr>
        <w:pStyle w:val="a9"/>
        <w:tabs>
          <w:tab w:val="right" w:pos="7667"/>
        </w:tabs>
        <w:ind w:right="-870"/>
        <w:jc w:val="right"/>
        <w:rPr>
          <w:caps/>
          <w:szCs w:val="24"/>
        </w:rPr>
      </w:pPr>
      <w:r w:rsidRPr="00676C99">
        <w:rPr>
          <w:caps/>
          <w:szCs w:val="24"/>
        </w:rPr>
        <w:t>по правам человека</w:t>
      </w:r>
    </w:p>
    <w:p w:rsidR="00676C99" w:rsidRDefault="005B3366" w:rsidP="00676C99">
      <w:pPr>
        <w:pStyle w:val="a9"/>
        <w:tabs>
          <w:tab w:val="right" w:pos="7667"/>
        </w:tabs>
        <w:ind w:right="-870"/>
        <w:jc w:val="right"/>
        <w:rPr>
          <w:rStyle w:val="af7"/>
          <w:rFonts w:eastAsia="MS Gothic"/>
          <w:szCs w:val="24"/>
        </w:rPr>
      </w:pPr>
      <w:hyperlink r:id="rId12" w:history="1">
        <w:r w:rsidR="00D75967" w:rsidRPr="00676C99">
          <w:rPr>
            <w:rStyle w:val="af7"/>
            <w:rFonts w:eastAsia="MS Gothic"/>
            <w:szCs w:val="24"/>
            <w:lang w:val="en-US"/>
          </w:rPr>
          <w:t>www</w:t>
        </w:r>
        <w:r w:rsidR="00D75967" w:rsidRPr="00676C99">
          <w:rPr>
            <w:rStyle w:val="af7"/>
            <w:rFonts w:eastAsia="MS Gothic"/>
            <w:szCs w:val="24"/>
          </w:rPr>
          <w:t>.</w:t>
        </w:r>
        <w:proofErr w:type="spellStart"/>
        <w:r w:rsidR="00D75967" w:rsidRPr="00676C99">
          <w:rPr>
            <w:rStyle w:val="af7"/>
            <w:rFonts w:eastAsia="MS Gothic"/>
            <w:szCs w:val="24"/>
            <w:lang w:val="en-US"/>
          </w:rPr>
          <w:t>echr</w:t>
        </w:r>
        <w:proofErr w:type="spellEnd"/>
        <w:r w:rsidR="00D75967" w:rsidRPr="00676C99">
          <w:rPr>
            <w:rStyle w:val="af7"/>
            <w:rFonts w:eastAsia="MS Gothic"/>
            <w:szCs w:val="24"/>
          </w:rPr>
          <w:t>.</w:t>
        </w:r>
        <w:proofErr w:type="spellStart"/>
        <w:r w:rsidR="00D75967" w:rsidRPr="00676C99">
          <w:rPr>
            <w:rStyle w:val="af7"/>
            <w:rFonts w:eastAsia="MS Gothic"/>
            <w:szCs w:val="24"/>
            <w:lang w:val="en-US"/>
          </w:rPr>
          <w:t>coe</w:t>
        </w:r>
        <w:proofErr w:type="spellEnd"/>
        <w:r w:rsidR="00D75967" w:rsidRPr="00676C99">
          <w:rPr>
            <w:rStyle w:val="af7"/>
            <w:rFonts w:eastAsia="MS Gothic"/>
            <w:szCs w:val="24"/>
          </w:rPr>
          <w:t>.</w:t>
        </w:r>
        <w:proofErr w:type="spellStart"/>
        <w:r w:rsidR="00D75967" w:rsidRPr="00676C99">
          <w:rPr>
            <w:rStyle w:val="af7"/>
            <w:rFonts w:eastAsia="MS Gothic"/>
            <w:szCs w:val="24"/>
            <w:lang w:val="en-US"/>
          </w:rPr>
          <w:t>int</w:t>
        </w:r>
        <w:proofErr w:type="spellEnd"/>
      </w:hyperlink>
    </w:p>
    <w:p w:rsidR="00D75967" w:rsidRPr="00676C99" w:rsidRDefault="00D75967" w:rsidP="00676C99">
      <w:pPr>
        <w:pStyle w:val="a9"/>
        <w:tabs>
          <w:tab w:val="right" w:pos="7667"/>
        </w:tabs>
        <w:ind w:right="-870"/>
        <w:jc w:val="right"/>
        <w:rPr>
          <w:caps/>
          <w:szCs w:val="24"/>
        </w:rPr>
      </w:pPr>
      <w:r w:rsidRPr="00676C99">
        <w:rPr>
          <w:caps/>
          <w:szCs w:val="24"/>
        </w:rPr>
        <w:t xml:space="preserve">в разделе </w:t>
      </w:r>
      <w:r w:rsidRPr="00676C99">
        <w:rPr>
          <w:caps/>
          <w:szCs w:val="24"/>
          <w:lang w:val="en-US"/>
        </w:rPr>
        <w:t>HUDOC</w:t>
      </w:r>
    </w:p>
    <w:p w:rsidR="00014566" w:rsidRPr="00C21653" w:rsidRDefault="00014566" w:rsidP="00C21653">
      <w:pPr>
        <w:jc w:val="center"/>
      </w:pPr>
    </w:p>
    <w:p w:rsidR="009352DF" w:rsidRPr="00D75967" w:rsidRDefault="009352DF" w:rsidP="00C21653">
      <w:pPr>
        <w:jc w:val="center"/>
      </w:pPr>
    </w:p>
    <w:p w:rsidR="009352DF" w:rsidRPr="00D75967" w:rsidRDefault="009352DF" w:rsidP="00C21653">
      <w:pPr>
        <w:jc w:val="center"/>
      </w:pPr>
    </w:p>
    <w:p w:rsidR="00014566" w:rsidRPr="00C21653" w:rsidRDefault="00042E1C" w:rsidP="00C21653">
      <w:pPr>
        <w:jc w:val="center"/>
      </w:pPr>
      <w:r>
        <w:t>ТРЕТЬЯ СЕКЦИЯ</w:t>
      </w:r>
    </w:p>
    <w:p w:rsidR="00014566" w:rsidRPr="00E738A5" w:rsidRDefault="00014566" w:rsidP="00C21653">
      <w:pPr>
        <w:jc w:val="center"/>
      </w:pPr>
    </w:p>
    <w:p w:rsidR="009352DF" w:rsidRPr="00E738A5" w:rsidRDefault="009352DF" w:rsidP="00C21653">
      <w:pPr>
        <w:jc w:val="center"/>
      </w:pPr>
    </w:p>
    <w:p w:rsidR="009352DF" w:rsidRPr="00E738A5" w:rsidRDefault="009352DF" w:rsidP="00C21653">
      <w:pPr>
        <w:jc w:val="center"/>
      </w:pPr>
    </w:p>
    <w:p w:rsidR="009352DF" w:rsidRPr="00E738A5" w:rsidRDefault="009352DF" w:rsidP="00C21653">
      <w:pPr>
        <w:jc w:val="center"/>
      </w:pPr>
    </w:p>
    <w:p w:rsidR="00014566" w:rsidRPr="00C21653" w:rsidRDefault="00014566" w:rsidP="00C21653">
      <w:pPr>
        <w:jc w:val="center"/>
        <w:rPr>
          <w:b/>
        </w:rPr>
      </w:pPr>
      <w:bookmarkStart w:id="1" w:name="To"/>
      <w:r>
        <w:rPr>
          <w:b/>
        </w:rPr>
        <w:t xml:space="preserve">ДЕЛО </w:t>
      </w:r>
      <w:bookmarkEnd w:id="1"/>
      <w:r>
        <w:rPr>
          <w:b/>
        </w:rPr>
        <w:t>«КИМ И РЫНДИНА против РОССИИ»</w:t>
      </w:r>
    </w:p>
    <w:p w:rsidR="00014566" w:rsidRPr="00E738A5" w:rsidRDefault="00014566" w:rsidP="00C21653">
      <w:pPr>
        <w:jc w:val="center"/>
      </w:pPr>
    </w:p>
    <w:p w:rsidR="00014566" w:rsidRPr="00C21653" w:rsidRDefault="00014566" w:rsidP="00C21653">
      <w:pPr>
        <w:jc w:val="center"/>
        <w:rPr>
          <w:i/>
        </w:rPr>
      </w:pPr>
      <w:r>
        <w:rPr>
          <w:i/>
        </w:rPr>
        <w:t>(Жалобы №№</w:t>
      </w:r>
      <w:r w:rsidR="00E738A5">
        <w:rPr>
          <w:i/>
        </w:rPr>
        <w:t> </w:t>
      </w:r>
      <w:r>
        <w:rPr>
          <w:i/>
        </w:rPr>
        <w:t>22094/05 и 20813/08)</w:t>
      </w:r>
    </w:p>
    <w:p w:rsidR="00014566" w:rsidRPr="00D75967" w:rsidRDefault="00014566" w:rsidP="00C21653">
      <w:pPr>
        <w:jc w:val="center"/>
      </w:pPr>
    </w:p>
    <w:p w:rsidR="00014566" w:rsidRPr="00D75967" w:rsidRDefault="00014566" w:rsidP="00C21653">
      <w:pPr>
        <w:jc w:val="center"/>
      </w:pPr>
    </w:p>
    <w:p w:rsidR="00DA54FF" w:rsidRPr="00D75967" w:rsidRDefault="00DA54FF" w:rsidP="00C21653">
      <w:pPr>
        <w:jc w:val="center"/>
      </w:pPr>
    </w:p>
    <w:p w:rsidR="00DA54FF" w:rsidRPr="00D75967" w:rsidRDefault="00DA54FF" w:rsidP="00C21653">
      <w:pPr>
        <w:jc w:val="center"/>
      </w:pPr>
    </w:p>
    <w:p w:rsidR="00014566" w:rsidRPr="00D75967" w:rsidRDefault="00014566" w:rsidP="00C21653">
      <w:pPr>
        <w:jc w:val="center"/>
      </w:pPr>
    </w:p>
    <w:p w:rsidR="00014566" w:rsidRPr="00C21653" w:rsidRDefault="009352DF" w:rsidP="00C21653">
      <w:pPr>
        <w:jc w:val="center"/>
      </w:pPr>
      <w:r>
        <w:t>ПОСТАНОВЛЕНИЕ</w:t>
      </w:r>
    </w:p>
    <w:p w:rsidR="00014566" w:rsidRPr="00E738A5" w:rsidRDefault="00014566" w:rsidP="00C21653">
      <w:pPr>
        <w:jc w:val="center"/>
      </w:pPr>
    </w:p>
    <w:p w:rsidR="009352DF" w:rsidRPr="00E738A5" w:rsidRDefault="009352DF" w:rsidP="00C21653">
      <w:pPr>
        <w:jc w:val="center"/>
      </w:pPr>
    </w:p>
    <w:p w:rsidR="009352DF" w:rsidRPr="00E738A5" w:rsidRDefault="009352DF" w:rsidP="00C21653">
      <w:pPr>
        <w:jc w:val="center"/>
      </w:pPr>
    </w:p>
    <w:p w:rsidR="009352DF" w:rsidRPr="00C21653" w:rsidRDefault="009352DF" w:rsidP="00C21653">
      <w:pPr>
        <w:jc w:val="center"/>
      </w:pPr>
      <w:r>
        <w:t>г. СТРАСБУРГ</w:t>
      </w:r>
    </w:p>
    <w:p w:rsidR="009352DF" w:rsidRPr="00E738A5" w:rsidRDefault="009352DF" w:rsidP="00C21653">
      <w:pPr>
        <w:jc w:val="center"/>
      </w:pPr>
    </w:p>
    <w:p w:rsidR="009352DF" w:rsidRPr="00E738A5" w:rsidRDefault="009352DF" w:rsidP="00C21653">
      <w:pPr>
        <w:jc w:val="center"/>
      </w:pPr>
    </w:p>
    <w:p w:rsidR="009352DF" w:rsidRPr="00C21653" w:rsidRDefault="00676C99" w:rsidP="00C21653">
      <w:pPr>
        <w:jc w:val="center"/>
      </w:pPr>
      <w:r>
        <w:t xml:space="preserve">Вынесено и вступило в силу: </w:t>
      </w:r>
      <w:r w:rsidR="009352DF">
        <w:t>17 января 2017 г.</w:t>
      </w:r>
    </w:p>
    <w:p w:rsidR="009352DF" w:rsidRPr="00E738A5" w:rsidRDefault="009352DF" w:rsidP="00C21653">
      <w:pPr>
        <w:jc w:val="center"/>
      </w:pPr>
    </w:p>
    <w:p w:rsidR="009352DF" w:rsidRPr="00E738A5" w:rsidRDefault="009352DF" w:rsidP="00C21653">
      <w:pPr>
        <w:jc w:val="center"/>
      </w:pPr>
    </w:p>
    <w:p w:rsidR="009352DF" w:rsidRPr="00E738A5" w:rsidRDefault="009352DF" w:rsidP="00C21653">
      <w:pPr>
        <w:jc w:val="center"/>
      </w:pPr>
    </w:p>
    <w:p w:rsidR="009352DF" w:rsidRPr="00C21653" w:rsidRDefault="009352DF" w:rsidP="00C21653">
      <w:pPr>
        <w:jc w:val="left"/>
        <w:rPr>
          <w:i/>
          <w:sz w:val="22"/>
        </w:rPr>
      </w:pPr>
      <w:r>
        <w:rPr>
          <w:i/>
          <w:sz w:val="22"/>
        </w:rPr>
        <w:t>Настоящее постановление является окончательным, но может быть подвергнуто редакционной правке.</w:t>
      </w:r>
    </w:p>
    <w:p w:rsidR="009352DF" w:rsidRPr="00E738A5" w:rsidRDefault="009352DF" w:rsidP="00C21653">
      <w:pPr>
        <w:pStyle w:val="JuCase"/>
        <w:ind w:firstLine="0"/>
        <w:rPr>
          <w:b w:val="0"/>
        </w:rPr>
        <w:sectPr w:rsidR="009352DF" w:rsidRPr="00E738A5" w:rsidSect="009352DF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C21653" w:rsidRDefault="00014566" w:rsidP="00C21653">
      <w:pPr>
        <w:pStyle w:val="JuCase"/>
        <w:rPr>
          <w:bCs/>
        </w:rPr>
      </w:pPr>
      <w:r>
        <w:lastRenderedPageBreak/>
        <w:t>По делу «Ким и Рындина против России»,</w:t>
      </w:r>
    </w:p>
    <w:p w:rsidR="00014566" w:rsidRPr="00C21653" w:rsidRDefault="00014566" w:rsidP="00C21653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014566" w:rsidRPr="00C21653" w:rsidRDefault="009352DF" w:rsidP="00E738A5">
      <w:pPr>
        <w:pStyle w:val="ECHRDecisionBody"/>
        <w:tabs>
          <w:tab w:val="clear" w:pos="1134"/>
        </w:tabs>
      </w:pPr>
      <w:r>
        <w:tab/>
        <w:t xml:space="preserve">Хелена </w:t>
      </w:r>
      <w:proofErr w:type="spellStart"/>
      <w:r>
        <w:t>Ядерблом</w:t>
      </w:r>
      <w:proofErr w:type="spellEnd"/>
      <w:r>
        <w:t xml:space="preserve">, </w:t>
      </w:r>
      <w:r>
        <w:rPr>
          <w:i/>
        </w:rPr>
        <w:t>Председатель,</w:t>
      </w:r>
      <w:r>
        <w:rPr>
          <w:i/>
        </w:rPr>
        <w:br/>
      </w:r>
      <w:r w:rsidR="00E738A5">
        <w:tab/>
      </w:r>
      <w:r>
        <w:t>Дмитрий Дедов,</w:t>
      </w:r>
      <w:r>
        <w:rPr>
          <w:i/>
        </w:rPr>
        <w:br/>
      </w:r>
      <w:r w:rsidR="00E738A5">
        <w:tab/>
      </w:r>
      <w:r>
        <w:t xml:space="preserve">Бранко </w:t>
      </w:r>
      <w:proofErr w:type="spellStart"/>
      <w:r>
        <w:t>Лубарда</w:t>
      </w:r>
      <w:proofErr w:type="spellEnd"/>
      <w:r>
        <w:t xml:space="preserve">, </w:t>
      </w:r>
      <w:r>
        <w:rPr>
          <w:i/>
        </w:rPr>
        <w:t>судьи</w:t>
      </w:r>
      <w:r>
        <w:t>,</w:t>
      </w:r>
      <w:r>
        <w:br/>
        <w:t xml:space="preserve">и </w:t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, </w:t>
      </w:r>
      <w:r>
        <w:rPr>
          <w:i/>
        </w:rPr>
        <w:t xml:space="preserve">Заместитель </w:t>
      </w:r>
      <w:r>
        <w:rPr>
          <w:i/>
          <w:iCs/>
        </w:rPr>
        <w:t>Секретаря Секции</w:t>
      </w:r>
      <w:r>
        <w:rPr>
          <w:i/>
        </w:rPr>
        <w:t>,</w:t>
      </w:r>
    </w:p>
    <w:p w:rsidR="00014566" w:rsidRPr="00C21653" w:rsidRDefault="00014566" w:rsidP="00C21653">
      <w:pPr>
        <w:pStyle w:val="ECHRPara"/>
      </w:pPr>
      <w:r>
        <w:t>проведя 13</w:t>
      </w:r>
      <w:r w:rsidR="00A12476">
        <w:t> </w:t>
      </w:r>
      <w:r>
        <w:t xml:space="preserve">декабря 2016 года </w:t>
      </w:r>
      <w:r w:rsidR="0095726B">
        <w:t>заседание</w:t>
      </w:r>
      <w:r>
        <w:t xml:space="preserve"> по делу за закрытыми дверями,</w:t>
      </w:r>
    </w:p>
    <w:p w:rsidR="00014566" w:rsidRPr="00C21653" w:rsidRDefault="00014566" w:rsidP="00C21653">
      <w:pPr>
        <w:pStyle w:val="ECHRPara"/>
      </w:pPr>
      <w:r>
        <w:t>вынес следующее постановление, утвержденное в тот же день.</w:t>
      </w:r>
    </w:p>
    <w:p w:rsidR="00014566" w:rsidRPr="00C21653" w:rsidRDefault="00014566" w:rsidP="00C21653">
      <w:pPr>
        <w:pStyle w:val="ECHRTitle1"/>
      </w:pPr>
      <w:r>
        <w:t>ПРОЦЕДУРА</w:t>
      </w:r>
    </w:p>
    <w:p w:rsidR="00042E1C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1</w:t>
      </w:r>
      <w:r w:rsidRPr="00C21653">
        <w:fldChar w:fldCharType="end"/>
      </w:r>
      <w:proofErr w:type="gramStart"/>
      <w:r>
        <w:t xml:space="preserve">.  Дело было </w:t>
      </w:r>
      <w:r w:rsidR="007324AD">
        <w:t xml:space="preserve">инициировано </w:t>
      </w:r>
      <w:r>
        <w:t>на основании двух жалоб (№</w:t>
      </w:r>
      <w:r w:rsidR="00A12476">
        <w:t>№</w:t>
      </w:r>
      <w:r>
        <w:t xml:space="preserve"> 22094/05 и 20813/08) против Российской Федерации, поданных в Европейский Суд </w:t>
      </w:r>
      <w:r w:rsidR="0095726B">
        <w:t>в соответствии со статьей</w:t>
      </w:r>
      <w:r>
        <w:t xml:space="preserve"> 34 Конвенции о защите прав человека и основных свобод (далее — «Конвенция») гражданами Российской Федерации Кимом </w:t>
      </w:r>
      <w:r w:rsidR="0095726B">
        <w:t xml:space="preserve">Сергеем Николаевичем </w:t>
      </w:r>
      <w:r>
        <w:t>и Рындиной</w:t>
      </w:r>
      <w:r w:rsidR="0095726B" w:rsidRPr="0095726B">
        <w:t xml:space="preserve"> </w:t>
      </w:r>
      <w:r w:rsidR="0095726B">
        <w:t>Людмилой Михайловной</w:t>
      </w:r>
      <w:r>
        <w:t xml:space="preserve"> (далее — «заявители») 27</w:t>
      </w:r>
      <w:r w:rsidR="00A12476">
        <w:t> </w:t>
      </w:r>
      <w:r>
        <w:t>апреля 2005</w:t>
      </w:r>
      <w:r w:rsidR="00A12476">
        <w:t> </w:t>
      </w:r>
      <w:r>
        <w:t>года и 16</w:t>
      </w:r>
      <w:r w:rsidR="00A12476">
        <w:t> </w:t>
      </w:r>
      <w:r>
        <w:t>января 2008</w:t>
      </w:r>
      <w:r w:rsidR="00A12476">
        <w:t> </w:t>
      </w:r>
      <w:r>
        <w:t>года, соответственно.</w:t>
      </w:r>
      <w:proofErr w:type="gramEnd"/>
    </w:p>
    <w:p w:rsidR="00014566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2</w:t>
      </w:r>
      <w:r w:rsidRPr="00C21653">
        <w:fldChar w:fldCharType="end"/>
      </w:r>
      <w:r>
        <w:t>.  Интересы Властей Российской Федерации (далее — «Власти») представлял Уполномоченный Российской Федерации при Европейском Суде по правам человека</w:t>
      </w:r>
      <w:r w:rsidR="0095726B" w:rsidRPr="0095726B">
        <w:t xml:space="preserve"> </w:t>
      </w:r>
      <w:r w:rsidR="0095726B">
        <w:t>– заместитель Министра юстиции Российской Федерации Г.О. Матюшкин</w:t>
      </w:r>
      <w:proofErr w:type="gramStart"/>
      <w:r w:rsidR="0095726B">
        <w:t>,</w:t>
      </w:r>
      <w:r>
        <w:t>.</w:t>
      </w:r>
      <w:proofErr w:type="gramEnd"/>
    </w:p>
    <w:p w:rsidR="00014566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</w:t>
      </w:r>
      <w:r w:rsidRPr="00C21653">
        <w:fldChar w:fldCharType="end"/>
      </w:r>
      <w:r>
        <w:t>.  16</w:t>
      </w:r>
      <w:r w:rsidR="00A12476">
        <w:t> </w:t>
      </w:r>
      <w:r>
        <w:t>мая 2011</w:t>
      </w:r>
      <w:r w:rsidR="00A12476">
        <w:t> </w:t>
      </w:r>
      <w:r>
        <w:t xml:space="preserve">года жалобы были </w:t>
      </w:r>
      <w:proofErr w:type="spellStart"/>
      <w:r>
        <w:t>коммуницированы</w:t>
      </w:r>
      <w:proofErr w:type="spellEnd"/>
      <w:r>
        <w:t xml:space="preserve"> Властям.</w:t>
      </w:r>
    </w:p>
    <w:p w:rsidR="00014566" w:rsidRPr="00C21653" w:rsidRDefault="00014566" w:rsidP="00C21653">
      <w:pPr>
        <w:pStyle w:val="ECHRTitle1"/>
      </w:pPr>
      <w:r>
        <w:t>ФАКТЫ</w:t>
      </w:r>
    </w:p>
    <w:p w:rsidR="00014566" w:rsidRPr="00C21653" w:rsidRDefault="00014566" w:rsidP="00C21653">
      <w:pPr>
        <w:pStyle w:val="ECHRHeading1"/>
      </w:pPr>
      <w:r>
        <w:t>I.  ОБСТОЯТЕЛЬСТВА ДЕЛА</w:t>
      </w:r>
    </w:p>
    <w:p w:rsidR="00DA54FF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4</w:t>
      </w:r>
      <w:r w:rsidRPr="00C21653">
        <w:fldChar w:fldCharType="end"/>
      </w:r>
      <w:r>
        <w:t>.  Первый заявитель, 1964 года рождения, проживает в г. Корсакове Сахалинск</w:t>
      </w:r>
      <w:r w:rsidR="0095726B">
        <w:t>ой</w:t>
      </w:r>
      <w:r>
        <w:t xml:space="preserve"> област</w:t>
      </w:r>
      <w:r w:rsidR="0095726B">
        <w:t>и</w:t>
      </w:r>
      <w:r>
        <w:t>. Втор</w:t>
      </w:r>
      <w:r w:rsidR="0095726B">
        <w:t>ая</w:t>
      </w:r>
      <w:r>
        <w:t xml:space="preserve"> заявитель</w:t>
      </w:r>
      <w:r w:rsidR="0095726B">
        <w:t>ница</w:t>
      </w:r>
      <w:r>
        <w:t>, 1948 года рождения, проживает в г. Москве.</w:t>
      </w:r>
    </w:p>
    <w:p w:rsidR="00DA54FF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5</w:t>
      </w:r>
      <w:r w:rsidRPr="00C21653">
        <w:fldChar w:fldCharType="end"/>
      </w:r>
      <w:r>
        <w:t>.  Заявители подали в суд два не связанных друг с другом иск</w:t>
      </w:r>
      <w:r w:rsidR="0095726B">
        <w:t>овых заявления</w:t>
      </w:r>
      <w:r>
        <w:t xml:space="preserve"> в отношении муниципального предприятия «Трест жилищного хозяйства» (далее — «муниципальное предприятие») в порядке гражданского судопроизводства.</w:t>
      </w:r>
    </w:p>
    <w:p w:rsidR="00FD296C" w:rsidRPr="00C21653" w:rsidRDefault="00FD296C" w:rsidP="00C21653">
      <w:pPr>
        <w:pStyle w:val="ECHRHeading2"/>
      </w:pPr>
      <w:r>
        <w:t>А. Постановления, вынесенные в пользу заявителей</w:t>
      </w:r>
    </w:p>
    <w:p w:rsidR="00DA54FF" w:rsidRPr="00C21653" w:rsidRDefault="005B3366" w:rsidP="00C21653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6</w:t>
      </w:r>
      <w:r>
        <w:rPr>
          <w:noProof/>
        </w:rPr>
        <w:fldChar w:fldCharType="end"/>
      </w:r>
      <w:r w:rsidR="000F2D0E">
        <w:t>.  22</w:t>
      </w:r>
      <w:r w:rsidR="00A12476">
        <w:t> </w:t>
      </w:r>
      <w:r w:rsidR="000F2D0E">
        <w:t>января 2003</w:t>
      </w:r>
      <w:r w:rsidR="00A12476">
        <w:t> </w:t>
      </w:r>
      <w:r w:rsidR="000F2D0E">
        <w:t xml:space="preserve">года </w:t>
      </w:r>
      <w:proofErr w:type="spellStart"/>
      <w:r w:rsidR="000F2D0E">
        <w:t>Корсаковский</w:t>
      </w:r>
      <w:proofErr w:type="spellEnd"/>
      <w:r w:rsidR="000F2D0E">
        <w:t xml:space="preserve"> городской суд Сахалинской области (далее — «городской суд») удовлетворил требование первого заявителя о выплате задолженности по заработной плате и обязал муниципаль</w:t>
      </w:r>
      <w:r w:rsidR="00A12476">
        <w:t>ное предприятие выплатить ему 1</w:t>
      </w:r>
      <w:r w:rsidR="000F2D0E">
        <w:t>270 евро. Решение вступило в силу в тот же день, но не было исполнено.</w:t>
      </w:r>
    </w:p>
    <w:bookmarkStart w:id="2" w:name="para7"/>
    <w:p w:rsidR="00A57442" w:rsidRPr="00C21653" w:rsidRDefault="000F2D0E" w:rsidP="00C21653">
      <w:pPr>
        <w:pStyle w:val="ECHRPara"/>
      </w:pPr>
      <w:r w:rsidRPr="00C21653">
        <w:fldChar w:fldCharType="begin"/>
      </w:r>
      <w:r w:rsidR="00F74C43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7</w:t>
      </w:r>
      <w:r w:rsidRPr="00C21653">
        <w:fldChar w:fldCharType="end"/>
      </w:r>
      <w:bookmarkEnd w:id="2"/>
      <w:r>
        <w:t>.  1 марта 2004 года городской суд удовлетворил требование второ</w:t>
      </w:r>
      <w:r w:rsidR="007B7C20">
        <w:t>й</w:t>
      </w:r>
      <w:r>
        <w:t xml:space="preserve"> заявител</w:t>
      </w:r>
      <w:r w:rsidR="007B7C20">
        <w:t>ьницы</w:t>
      </w:r>
      <w:r>
        <w:t xml:space="preserve"> о компенсации ущерба здоровью, понесенного в результате действий одного из сотрудников муниципального предприятия. Суд постановил выплатить заявител</w:t>
      </w:r>
      <w:r w:rsidR="007B7C20">
        <w:t>ьнице</w:t>
      </w:r>
      <w:r>
        <w:t xml:space="preserve"> 16 256 евро. Решение суда вступило в силу 25 мая 2004 года. Оно было частично</w:t>
      </w:r>
      <w:r w:rsidR="00A12476">
        <w:t xml:space="preserve"> исполнено в 2004 году и в 2006–</w:t>
      </w:r>
      <w:r>
        <w:t>2007 годах. Заявител</w:t>
      </w:r>
      <w:r w:rsidR="007B7C20">
        <w:t>ьнице</w:t>
      </w:r>
      <w:r>
        <w:t xml:space="preserve"> было выплачено 11 888 евро.</w:t>
      </w:r>
    </w:p>
    <w:bookmarkStart w:id="3" w:name="para8"/>
    <w:p w:rsidR="00462C2A" w:rsidRPr="00C21653" w:rsidRDefault="000F2D0E" w:rsidP="00C21653">
      <w:pPr>
        <w:pStyle w:val="ECHRPara"/>
        <w:ind w:right="-13"/>
      </w:pPr>
      <w:r w:rsidRPr="00C21653">
        <w:fldChar w:fldCharType="begin"/>
      </w:r>
      <w:r w:rsidR="004D703E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8</w:t>
      </w:r>
      <w:r w:rsidRPr="00C21653">
        <w:fldChar w:fldCharType="end"/>
      </w:r>
      <w:bookmarkEnd w:id="3"/>
      <w:r>
        <w:t>.  7 мая 2007 года в ходе производства по делу о несостоятельности муниципального предприятия Арбитражный суд Сахалинской области (далее — «Арбитражный суд») удовлетворил требование второ</w:t>
      </w:r>
      <w:r w:rsidR="007B7C20">
        <w:t>й</w:t>
      </w:r>
      <w:r>
        <w:t xml:space="preserve"> заявител</w:t>
      </w:r>
      <w:r w:rsidR="007B7C20">
        <w:t>ьницы</w:t>
      </w:r>
      <w:r>
        <w:t xml:space="preserve"> о компенсации потери дохода и отклонил остальные </w:t>
      </w:r>
      <w:r w:rsidR="007B7C20">
        <w:t xml:space="preserve">ее </w:t>
      </w:r>
      <w:r>
        <w:t>требования. Заявител</w:t>
      </w:r>
      <w:r w:rsidR="007B7C20">
        <w:t>ьнице</w:t>
      </w:r>
      <w:r>
        <w:t xml:space="preserve"> была присуждена </w:t>
      </w:r>
      <w:r w:rsidR="007B7C20">
        <w:t>компенсация</w:t>
      </w:r>
      <w:r>
        <w:t xml:space="preserve"> в размере </w:t>
      </w:r>
      <w:r w:rsidR="007B7C20">
        <w:br/>
      </w:r>
      <w:r>
        <w:t>44 044 евро. Втор</w:t>
      </w:r>
      <w:r w:rsidR="007B7C20">
        <w:t>ая</w:t>
      </w:r>
      <w:r>
        <w:t xml:space="preserve"> заявитель</w:t>
      </w:r>
      <w:r w:rsidR="007B7C20">
        <w:t>ница</w:t>
      </w:r>
      <w:r>
        <w:t xml:space="preserve"> обжаловал</w:t>
      </w:r>
      <w:r w:rsidR="007B7C20">
        <w:t>а</w:t>
      </w:r>
      <w:r>
        <w:t xml:space="preserve"> данное решение. 18 июля 2007</w:t>
      </w:r>
      <w:r w:rsidR="00A12476">
        <w:t> </w:t>
      </w:r>
      <w:r>
        <w:t xml:space="preserve">года Арбитражный суд прекратил разбирательство на основании того, что муниципальное предприятие было ликвидировано. В своем решении Арбитражный суд руководствовался </w:t>
      </w:r>
      <w:r>
        <w:lastRenderedPageBreak/>
        <w:t xml:space="preserve">п. 3 статьи 49 и </w:t>
      </w:r>
      <w:r w:rsidRPr="00141FF6">
        <w:t xml:space="preserve">п. 8 статьи 63 Гражданского кодекса Российской Федерации в толковании </w:t>
      </w:r>
      <w:r w:rsidR="008D3989" w:rsidRPr="00141FF6">
        <w:t xml:space="preserve">Постановления </w:t>
      </w:r>
      <w:r w:rsidRPr="00141FF6">
        <w:t>Пленума Высшего Арбитражного Суда</w:t>
      </w:r>
      <w:r w:rsidR="00141FF6" w:rsidRPr="00141FF6">
        <w:t xml:space="preserve"> Российской Федерации</w:t>
      </w:r>
      <w:r w:rsidRPr="00141FF6">
        <w:t xml:space="preserve"> № 29 от 15 декабря 2004 г</w:t>
      </w:r>
      <w:r w:rsidR="00141FF6" w:rsidRPr="00141FF6">
        <w:t>.</w:t>
      </w:r>
      <w:r w:rsidRPr="00141FF6">
        <w:t xml:space="preserve"> (см. пункты </w:t>
      </w:r>
      <w:r w:rsidR="00D225A7" w:rsidRPr="00141FF6">
        <w:fldChar w:fldCharType="begin"/>
      </w:r>
      <w:r w:rsidR="00D225A7" w:rsidRPr="00141FF6">
        <w:instrText xml:space="preserve"> REF para13 \h  \* MERGEFORMAT </w:instrText>
      </w:r>
      <w:r w:rsidR="00D225A7" w:rsidRPr="00141FF6">
        <w:fldChar w:fldCharType="separate"/>
      </w:r>
      <w:r w:rsidR="00322751">
        <w:rPr>
          <w:noProof/>
        </w:rPr>
        <w:t>13</w:t>
      </w:r>
      <w:r w:rsidR="00D225A7" w:rsidRPr="00141FF6">
        <w:fldChar w:fldCharType="end"/>
      </w:r>
      <w:r w:rsidR="00A12476" w:rsidRPr="00141FF6">
        <w:t>–</w:t>
      </w:r>
      <w:r w:rsidRPr="00141FF6">
        <w:fldChar w:fldCharType="begin"/>
      </w:r>
      <w:r w:rsidR="00D559EA" w:rsidRPr="00141FF6">
        <w:instrText xml:space="preserve"> REF para15 \h </w:instrText>
      </w:r>
      <w:r w:rsidR="007B7C20" w:rsidRPr="00141FF6">
        <w:instrText xml:space="preserve"> \* MERGEFORMAT </w:instrText>
      </w:r>
      <w:r w:rsidRPr="00141FF6">
        <w:fldChar w:fldCharType="separate"/>
      </w:r>
      <w:r w:rsidR="00322751">
        <w:t>14</w:t>
      </w:r>
      <w:r w:rsidRPr="00141FF6">
        <w:fldChar w:fldCharType="end"/>
      </w:r>
      <w:r w:rsidRPr="00141FF6">
        <w:t xml:space="preserve"> ниже).</w:t>
      </w:r>
    </w:p>
    <w:p w:rsidR="00262D21" w:rsidRPr="00C21653" w:rsidRDefault="00262D21" w:rsidP="00C21653">
      <w:pPr>
        <w:pStyle w:val="ECHRHeading2"/>
      </w:pPr>
      <w:r>
        <w:t>Б. Имеющаяся информация о муниципальном предприятии</w:t>
      </w:r>
    </w:p>
    <w:bookmarkStart w:id="4" w:name="para9"/>
    <w:p w:rsidR="00A57442" w:rsidRPr="00C21653" w:rsidRDefault="000F2D0E" w:rsidP="00C21653">
      <w:pPr>
        <w:pStyle w:val="ECHRPara"/>
        <w:ind w:right="-13"/>
      </w:pPr>
      <w:r w:rsidRPr="00C21653">
        <w:fldChar w:fldCharType="begin"/>
      </w:r>
      <w:r w:rsidR="00A57442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9</w:t>
      </w:r>
      <w:r w:rsidRPr="00C21653">
        <w:fldChar w:fldCharType="end"/>
      </w:r>
      <w:bookmarkEnd w:id="4"/>
      <w:r>
        <w:t>.  Муниципальное предприятие, зарегистрированное в качестве муниципального унитарного предприятия и учрежденное на основании решения местных властей, занималось предоставлением жилищно-коммунальных услуг и услуг по отоплению муниципального жилья. Муниципальное предприятие обладало «правом хозяйственного ведения» в отношении активов, выделенных ему местными властями для осуществления уставной деятельности.</w:t>
      </w:r>
    </w:p>
    <w:bookmarkStart w:id="5" w:name="para10"/>
    <w:p w:rsidR="00DA54FF" w:rsidRPr="00C21653" w:rsidRDefault="000F2D0E" w:rsidP="00C21653">
      <w:pPr>
        <w:pStyle w:val="ECHRPara"/>
        <w:ind w:right="-13"/>
      </w:pPr>
      <w:r w:rsidRPr="00C21653">
        <w:fldChar w:fldCharType="begin"/>
      </w:r>
      <w:r w:rsidR="00A57442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10</w:t>
      </w:r>
      <w:r w:rsidRPr="00C21653">
        <w:fldChar w:fldCharType="end"/>
      </w:r>
      <w:bookmarkEnd w:id="5"/>
      <w:r>
        <w:t>.  По словам второй заявительницы, 27 апреля 2002 года местные власти отменили право хозяйственного ведения муниципального предприятия в отношении большей части активов. Впоследствии активы были переданы в ведение вновь созданного предприятия; задолженность осталась на балансе муниципального предприятия.</w:t>
      </w:r>
    </w:p>
    <w:p w:rsidR="00DA54FF" w:rsidRPr="00C21653" w:rsidRDefault="000F2D0E" w:rsidP="00C21653">
      <w:pPr>
        <w:pStyle w:val="ECHRPara"/>
        <w:ind w:right="-13"/>
      </w:pPr>
      <w:r w:rsidRPr="00C21653">
        <w:fldChar w:fldCharType="begin"/>
      </w:r>
      <w:r w:rsidR="00A57442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11</w:t>
      </w:r>
      <w:r w:rsidRPr="00C21653">
        <w:fldChar w:fldCharType="end"/>
      </w:r>
      <w:r>
        <w:t>.  27</w:t>
      </w:r>
      <w:r w:rsidR="00A12476">
        <w:t> </w:t>
      </w:r>
      <w:r>
        <w:t>сентября 2005</w:t>
      </w:r>
      <w:r w:rsidR="00A12476">
        <w:t> </w:t>
      </w:r>
      <w:r>
        <w:t xml:space="preserve">года муниципальное </w:t>
      </w:r>
      <w:proofErr w:type="gramStart"/>
      <w:r>
        <w:t>предприятие было объявлено несостоятельным и в отношении него была</w:t>
      </w:r>
      <w:proofErr w:type="gramEnd"/>
      <w:r>
        <w:t xml:space="preserve"> начата процедура </w:t>
      </w:r>
      <w:r w:rsidR="007B7C20">
        <w:t>ликвидации</w:t>
      </w:r>
      <w:r>
        <w:t>. 7</w:t>
      </w:r>
      <w:r w:rsidR="00A12476">
        <w:t> </w:t>
      </w:r>
      <w:r>
        <w:t>мая 2007</w:t>
      </w:r>
      <w:r w:rsidR="00A12476">
        <w:t> </w:t>
      </w:r>
      <w:r>
        <w:t>года процедура ликвидации была завершена арбитражным судом.</w:t>
      </w:r>
    </w:p>
    <w:p w:rsidR="00DA54FF" w:rsidRPr="00C21653" w:rsidRDefault="00014566" w:rsidP="00C21653">
      <w:pPr>
        <w:pStyle w:val="ECHRHeading1"/>
      </w:pPr>
      <w:r>
        <w:t>II.  ПРИМЕНИМОЕ НАЦИОНАЛЬНОЕ ЗАКОНОДАТЕЛЬСТВО</w:t>
      </w:r>
    </w:p>
    <w:p w:rsidR="000B3998" w:rsidRPr="00C21653" w:rsidRDefault="000F2D0E" w:rsidP="00C21653">
      <w:pPr>
        <w:pStyle w:val="ECHRPara"/>
      </w:pPr>
      <w:r w:rsidRPr="00C21653">
        <w:fldChar w:fldCharType="begin"/>
      </w:r>
      <w:r w:rsidR="000B3998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12</w:t>
      </w:r>
      <w:r w:rsidRPr="00C21653">
        <w:fldChar w:fldCharType="end"/>
      </w:r>
      <w:proofErr w:type="gramStart"/>
      <w:r>
        <w:t>.  Краткий обзор положений национального законодательства, регламентирующих правовой статус государственных и муниципальных унитарных предприятий на праве хозяйственного ведения, приведен в постановлении Европейского Суда от 9 октября 2014 года по делу «</w:t>
      </w:r>
      <w:proofErr w:type="spellStart"/>
      <w:r>
        <w:t>Лисейцева</w:t>
      </w:r>
      <w:proofErr w:type="spellEnd"/>
      <w:r>
        <w:t xml:space="preserve"> и Маслов против России» (</w:t>
      </w:r>
      <w:proofErr w:type="spellStart"/>
      <w:r>
        <w:rPr>
          <w:i/>
        </w:rPr>
        <w:t>Liseytseva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Maslov</w:t>
      </w:r>
      <w:proofErr w:type="spellEnd"/>
      <w:r>
        <w:t xml:space="preserve"> </w:t>
      </w:r>
      <w:r>
        <w:rPr>
          <w:i/>
        </w:rPr>
        <w:t>v.</w:t>
      </w:r>
      <w:proofErr w:type="gramEnd"/>
      <w:r>
        <w:rPr>
          <w:i/>
        </w:rPr>
        <w:t> </w:t>
      </w:r>
      <w:proofErr w:type="spellStart"/>
      <w:r>
        <w:rPr>
          <w:i/>
        </w:rPr>
        <w:t>Russia</w:t>
      </w:r>
      <w:proofErr w:type="spellEnd"/>
      <w:r>
        <w:t>) (жалобы №</w:t>
      </w:r>
      <w:r w:rsidR="00A12476">
        <w:t>№</w:t>
      </w:r>
      <w:r>
        <w:t xml:space="preserve"> 39483/05 и 40527/10, пункты 54–127), а также в решении Европейского Суда от 18 сентября 2014 года по делу «Самсонов против России» (</w:t>
      </w:r>
      <w:proofErr w:type="spellStart"/>
      <w:r>
        <w:rPr>
          <w:i/>
        </w:rPr>
        <w:t>Samsonov</w:t>
      </w:r>
      <w:proofErr w:type="spellEnd"/>
      <w:r>
        <w:rPr>
          <w:i/>
        </w:rPr>
        <w:t xml:space="preserve"> v. </w:t>
      </w:r>
      <w:proofErr w:type="spellStart"/>
      <w:proofErr w:type="gramStart"/>
      <w:r>
        <w:rPr>
          <w:i/>
        </w:rPr>
        <w:t>Russia</w:t>
      </w:r>
      <w:proofErr w:type="spellEnd"/>
      <w:r>
        <w:t xml:space="preserve">), жалоба </w:t>
      </w:r>
      <w:r w:rsidR="007B7C20">
        <w:br/>
      </w:r>
      <w:r>
        <w:t>№ 2880/10.</w:t>
      </w:r>
      <w:proofErr w:type="gramEnd"/>
    </w:p>
    <w:bookmarkStart w:id="6" w:name="para13"/>
    <w:p w:rsidR="00DA54FF" w:rsidRPr="00141FF6" w:rsidRDefault="000F2D0E" w:rsidP="00C21653">
      <w:pPr>
        <w:pStyle w:val="ECHRPara"/>
      </w:pPr>
      <w:r w:rsidRPr="00C21653">
        <w:fldChar w:fldCharType="begin"/>
      </w:r>
      <w:r w:rsidR="003F46EF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13</w:t>
      </w:r>
      <w:r w:rsidRPr="00C21653">
        <w:fldChar w:fldCharType="end"/>
      </w:r>
      <w:bookmarkEnd w:id="6"/>
      <w:r>
        <w:t xml:space="preserve">.  В соответствии с пунктом 3 статьи 49 Гражданского кодекса Российской Федерации (в редакции, действовавшей в период, относящийся к обстоятельствам дела), правоспособность юридического лица прекращается </w:t>
      </w:r>
      <w:r w:rsidR="007B7C20">
        <w:t>с</w:t>
      </w:r>
      <w:r>
        <w:t xml:space="preserve"> момент</w:t>
      </w:r>
      <w:r w:rsidR="007B7C20">
        <w:t>а</w:t>
      </w:r>
      <w:r>
        <w:t xml:space="preserve"> внесения в Единый </w:t>
      </w:r>
      <w:r w:rsidRPr="00141FF6">
        <w:t>государственный реестр юридических лиц (далее — «Государственный реестр») сведений о его прекращении. В соответствии с пунктом</w:t>
      </w:r>
      <w:r w:rsidR="007B7C20" w:rsidRPr="00141FF6">
        <w:t xml:space="preserve"> </w:t>
      </w:r>
      <w:r w:rsidRPr="00141FF6">
        <w:t xml:space="preserve">8 статьи 63 того же Кодекса, ликвидация юридического лица считается завершенной, а юридическое лицо — прекратившим существование после внесения соответствующих сведений в </w:t>
      </w:r>
      <w:r w:rsidR="00EE540A" w:rsidRPr="00141FF6">
        <w:t>г</w:t>
      </w:r>
      <w:r w:rsidRPr="00141FF6">
        <w:t>осударственный реестр.</w:t>
      </w:r>
    </w:p>
    <w:bookmarkStart w:id="7" w:name="para15"/>
    <w:p w:rsidR="00141FF6" w:rsidRPr="00141FF6" w:rsidRDefault="000F2D0E" w:rsidP="00141FF6">
      <w:pPr>
        <w:pStyle w:val="ECHRPara"/>
      </w:pPr>
      <w:r w:rsidRPr="00141FF6">
        <w:fldChar w:fldCharType="begin"/>
      </w:r>
      <w:r w:rsidR="003D4103" w:rsidRPr="00141FF6">
        <w:instrText xml:space="preserve"> SEQ level0 \*arabic </w:instrText>
      </w:r>
      <w:r w:rsidRPr="00141FF6">
        <w:fldChar w:fldCharType="separate"/>
      </w:r>
      <w:r w:rsidR="00322751">
        <w:rPr>
          <w:noProof/>
        </w:rPr>
        <w:t>14</w:t>
      </w:r>
      <w:r w:rsidRPr="00141FF6">
        <w:fldChar w:fldCharType="end"/>
      </w:r>
      <w:bookmarkEnd w:id="7"/>
      <w:r w:rsidRPr="00141FF6">
        <w:t xml:space="preserve">.  15 декабря 2004 года Пленум Высшего Арбитражного Суда в пункте 48 постановления указал, что </w:t>
      </w:r>
      <w:r w:rsidR="00141FF6" w:rsidRPr="00141FF6">
        <w:t>с</w:t>
      </w:r>
      <w:r w:rsidR="00141FF6" w:rsidRPr="00141FF6">
        <w:rPr>
          <w:rFonts w:ascii="Times New Roman" w:eastAsiaTheme="minorHAnsi" w:hAnsi="Times New Roman" w:cs="Times New Roman"/>
          <w:szCs w:val="24"/>
        </w:rPr>
        <w:t xml:space="preserve"> момента внесения записи о ликвидации должника в Единый государственный реестр юридических лиц, поступивших от конкурсного управляющего либо регистрирующего органа, арбитражный суд выносит определение о прекращении</w:t>
      </w:r>
      <w:r w:rsidR="00141FF6">
        <w:rPr>
          <w:rFonts w:ascii="Times New Roman" w:eastAsiaTheme="minorHAnsi" w:hAnsi="Times New Roman" w:cs="Times New Roman"/>
          <w:szCs w:val="24"/>
        </w:rPr>
        <w:t xml:space="preserve"> производства по рассмотрению всех разногласий, заявлений, ходатайств и жалоб.</w:t>
      </w:r>
    </w:p>
    <w:p w:rsidR="00014566" w:rsidRPr="00C21653" w:rsidRDefault="00014566" w:rsidP="00C21653">
      <w:pPr>
        <w:pStyle w:val="ECHRTitle1"/>
      </w:pPr>
      <w:r>
        <w:t>ПРАВО</w:t>
      </w:r>
    </w:p>
    <w:p w:rsidR="00DA54FF" w:rsidRPr="00C21653" w:rsidRDefault="003B5918" w:rsidP="00C21653">
      <w:pPr>
        <w:pStyle w:val="ECHRHeading1"/>
      </w:pPr>
      <w:r>
        <w:t>I.  ОБЪЕДИНЕНИЕ ЖАЛОБ</w:t>
      </w:r>
    </w:p>
    <w:p w:rsidR="00D44F1F" w:rsidRPr="00C21653" w:rsidRDefault="005B3366" w:rsidP="00C21653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15</w:t>
      </w:r>
      <w:r>
        <w:rPr>
          <w:noProof/>
        </w:rPr>
        <w:fldChar w:fldCharType="end"/>
      </w:r>
      <w:r w:rsidR="000F2D0E">
        <w:t xml:space="preserve">.  Ввиду того, что в рассматриваемых жалобах </w:t>
      </w:r>
      <w:r w:rsidR="00EE540A">
        <w:t>поднимаются</w:t>
      </w:r>
      <w:r w:rsidR="000F2D0E">
        <w:t xml:space="preserve"> </w:t>
      </w:r>
      <w:r w:rsidR="00EE540A">
        <w:t xml:space="preserve">схожие вопросы </w:t>
      </w:r>
      <w:r w:rsidR="000F2D0E">
        <w:t xml:space="preserve">положений Конвенции, Суд решил объединить их в одно производство </w:t>
      </w:r>
      <w:r w:rsidR="00EE540A">
        <w:t>в соответствии с</w:t>
      </w:r>
      <w:r w:rsidR="000F2D0E">
        <w:t xml:space="preserve"> пунк</w:t>
      </w:r>
      <w:r w:rsidR="00EE540A">
        <w:t>том</w:t>
      </w:r>
      <w:r w:rsidR="000F2D0E">
        <w:t> 1 правила 42 Регламента Суда.</w:t>
      </w:r>
    </w:p>
    <w:p w:rsidR="00014566" w:rsidRPr="00C21653" w:rsidRDefault="00D225A7" w:rsidP="00C21653">
      <w:pPr>
        <w:pStyle w:val="ECHRHeading1"/>
      </w:pPr>
      <w:r>
        <w:lastRenderedPageBreak/>
        <w:t>II.  </w:t>
      </w:r>
      <w:r w:rsidR="003B5918">
        <w:t>ПРЕДПОЛАГАЕМОЕ НАРУШЕНИЕ СТАТЕЙ 6</w:t>
      </w:r>
      <w:proofErr w:type="gramStart"/>
      <w:r w:rsidR="003B5918">
        <w:t xml:space="preserve"> И</w:t>
      </w:r>
      <w:proofErr w:type="gramEnd"/>
      <w:r w:rsidR="003B5918">
        <w:t> 13 КОНВЕНЦИИ И СТАТЬИ 1 ПРОТОКОЛА № 1 К КОНВЕНЦИИ</w:t>
      </w:r>
    </w:p>
    <w:p w:rsidR="00564FCA" w:rsidRPr="00C21653" w:rsidRDefault="000F2D0E" w:rsidP="00C21653">
      <w:pPr>
        <w:pStyle w:val="ECHRPara"/>
        <w:rPr>
          <w:bCs/>
        </w:rPr>
      </w:pPr>
      <w:r w:rsidRPr="00C21653">
        <w:rPr>
          <w:bCs/>
        </w:rPr>
        <w:fldChar w:fldCharType="begin"/>
      </w:r>
      <w:r w:rsidR="00564FCA" w:rsidRPr="00C21653">
        <w:rPr>
          <w:bCs/>
        </w:rPr>
        <w:instrText xml:space="preserve"> SEQ level0 \*arabic </w:instrText>
      </w:r>
      <w:r w:rsidRPr="00C21653">
        <w:rPr>
          <w:bCs/>
        </w:rPr>
        <w:fldChar w:fldCharType="separate"/>
      </w:r>
      <w:r w:rsidR="00322751">
        <w:rPr>
          <w:bCs/>
          <w:noProof/>
        </w:rPr>
        <w:t>16</w:t>
      </w:r>
      <w:r w:rsidRPr="00C21653">
        <w:rPr>
          <w:bCs/>
        </w:rPr>
        <w:fldChar w:fldCharType="end"/>
      </w:r>
      <w:r>
        <w:t>.  Заявители жаловались на неисполнение решений, вынесенных в их пользу национальными судами, и на отсутствие в национальном законодательстве каких-либо эффективных сре</w:t>
      </w:r>
      <w:proofErr w:type="gramStart"/>
      <w:r>
        <w:t>дств пр</w:t>
      </w:r>
      <w:proofErr w:type="gramEnd"/>
      <w:r>
        <w:t>авовой защиты. Доводы заявителей основаны на положениях пункта 1 статьи 6 и статьи 13 Конвенции, а также статьи 1 Протокола № 1 к Конвенции, которые гласят:</w:t>
      </w:r>
    </w:p>
    <w:p w:rsidR="00564FCA" w:rsidRPr="00C21653" w:rsidRDefault="00564FCA" w:rsidP="00C21653">
      <w:pPr>
        <w:pStyle w:val="ECHRTitleCentre3"/>
      </w:pPr>
      <w:r>
        <w:t>Пункт 1 статьи 6:</w:t>
      </w:r>
    </w:p>
    <w:p w:rsidR="00564FCA" w:rsidRPr="00C21653" w:rsidRDefault="00564FCA" w:rsidP="00C21653">
      <w:pPr>
        <w:pStyle w:val="ECHRParaQuote"/>
      </w:pPr>
      <w:r>
        <w:t>«Каждый в случае спора о его гражданских правах и обязанностях… имеет право на справедливое… разбирательство дела… судом…»</w:t>
      </w:r>
    </w:p>
    <w:p w:rsidR="00564FCA" w:rsidRPr="00C21653" w:rsidRDefault="00564FCA" w:rsidP="00C21653">
      <w:pPr>
        <w:pStyle w:val="ECHRTitleCentre3"/>
      </w:pPr>
      <w:r>
        <w:t>Статья 13</w:t>
      </w:r>
    </w:p>
    <w:p w:rsidR="00564FCA" w:rsidRPr="00C21653" w:rsidRDefault="00564FCA" w:rsidP="00C21653">
      <w:pPr>
        <w:pStyle w:val="ECHRParaQuote"/>
        <w:rPr>
          <w:b/>
        </w:rPr>
      </w:pPr>
      <w:r>
        <w:t>«Каждый, чьи права и свободы, признанные в [...]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564FCA" w:rsidRPr="00C21653" w:rsidRDefault="00564FCA" w:rsidP="00C21653">
      <w:pPr>
        <w:pStyle w:val="ECHRTitleCentre3"/>
      </w:pPr>
      <w:r>
        <w:t>Статья 1 Протокола № 1</w:t>
      </w:r>
    </w:p>
    <w:p w:rsidR="00564FCA" w:rsidRPr="00C21653" w:rsidRDefault="00564FCA" w:rsidP="00C21653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564FCA" w:rsidRPr="00C21653" w:rsidRDefault="00564FCA" w:rsidP="00C21653">
      <w:pPr>
        <w:pStyle w:val="ECHRParaQuote"/>
        <w:rPr>
          <w:b/>
        </w:rPr>
      </w:pPr>
      <w:r>
        <w:t xml:space="preserve">Предыдущие положения не умаляют права Государства обеспечивать выполнение таких законов, какие ему представляются необходимыми для осуществления </w:t>
      </w:r>
      <w:proofErr w:type="gramStart"/>
      <w:r>
        <w:t>контроля за</w:t>
      </w:r>
      <w:proofErr w:type="gramEnd"/>
      <w:r>
        <w:t xml:space="preserve"> использованием собственности в соответствии с общими интересами или для обеспечения уплаты налогов или других сборов или штрафов».</w:t>
      </w:r>
    </w:p>
    <w:p w:rsidR="00564FCA" w:rsidRPr="00C21653" w:rsidRDefault="00564FCA" w:rsidP="00C21653">
      <w:pPr>
        <w:pStyle w:val="ECHRHeading2"/>
        <w:rPr>
          <w:rFonts w:eastAsia="MS Gothic"/>
        </w:rPr>
      </w:pPr>
      <w:r>
        <w:t>A.  Доводы сторон</w:t>
      </w:r>
    </w:p>
    <w:p w:rsidR="00564FCA" w:rsidRPr="00C21653" w:rsidRDefault="00564FCA" w:rsidP="00C21653">
      <w:pPr>
        <w:pStyle w:val="ECHRHeading3"/>
      </w:pPr>
      <w:r>
        <w:t>1.  Доводы Властей</w:t>
      </w:r>
    </w:p>
    <w:p w:rsidR="00564FCA" w:rsidRPr="00C21653" w:rsidRDefault="000F2D0E" w:rsidP="00C21653">
      <w:pPr>
        <w:pStyle w:val="ECHRPara"/>
      </w:pPr>
      <w:r w:rsidRPr="00C21653">
        <w:fldChar w:fldCharType="begin"/>
      </w:r>
      <w:r w:rsidR="00564FCA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17</w:t>
      </w:r>
      <w:r w:rsidRPr="00C21653">
        <w:fldChar w:fldCharType="end"/>
      </w:r>
      <w:r>
        <w:t>.  Власти утверждали, что унитарные предприятия, о которых идет речь, являлись коммерческими организациями, и вели свою деятельность независимо от органов власти. Таким образом, по мнению Властей, государство не несло ответственности за долги муниципальных унитарных предприятий.</w:t>
      </w:r>
    </w:p>
    <w:bookmarkStart w:id="8" w:name="para23"/>
    <w:p w:rsidR="00564FCA" w:rsidRPr="00C21653" w:rsidRDefault="000F2D0E" w:rsidP="00C21653">
      <w:pPr>
        <w:pStyle w:val="ECHRPara"/>
      </w:pPr>
      <w:r w:rsidRPr="00C21653">
        <w:fldChar w:fldCharType="begin"/>
      </w:r>
      <w:r w:rsidR="00564FCA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18</w:t>
      </w:r>
      <w:r w:rsidRPr="00C21653">
        <w:fldChar w:fldCharType="end"/>
      </w:r>
      <w:bookmarkEnd w:id="8"/>
      <w:r>
        <w:t>.  Власти утверждали, что Ким</w:t>
      </w:r>
      <w:r w:rsidR="00EE540A" w:rsidRPr="00EE540A">
        <w:t xml:space="preserve"> </w:t>
      </w:r>
      <w:r w:rsidR="00EE540A">
        <w:t>С.Н.</w:t>
      </w:r>
      <w:r>
        <w:t xml:space="preserve"> не исчерпал имевшиеся в его распоряжении внутренние средства правовой защиты. В частности, он не подал иск</w:t>
      </w:r>
      <w:r w:rsidR="00EE540A">
        <w:t>ового заявления</w:t>
      </w:r>
      <w:r>
        <w:t xml:space="preserve"> в арбитражный суд в ходе производства по делу о несостоятельности.</w:t>
      </w:r>
    </w:p>
    <w:p w:rsidR="00564FCA" w:rsidRPr="00C21653" w:rsidRDefault="00564FCA" w:rsidP="00C21653">
      <w:pPr>
        <w:pStyle w:val="ECHRHeading3"/>
      </w:pPr>
      <w:r>
        <w:t>2.  Доводы заявителей</w:t>
      </w:r>
    </w:p>
    <w:p w:rsidR="00564FCA" w:rsidRPr="00C21653" w:rsidRDefault="005B3366" w:rsidP="00C21653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19</w:t>
      </w:r>
      <w:r>
        <w:rPr>
          <w:noProof/>
        </w:rPr>
        <w:fldChar w:fldCharType="end"/>
      </w:r>
      <w:r w:rsidR="000F2D0E">
        <w:t xml:space="preserve">.  По мнению заявителей, предприятие-должник фактически являлось государственным предприятием, находилось под контролем местных властей, в </w:t>
      </w:r>
      <w:proofErr w:type="gramStart"/>
      <w:r w:rsidR="000F2D0E">
        <w:t>связи</w:t>
      </w:r>
      <w:proofErr w:type="gramEnd"/>
      <w:r w:rsidR="000F2D0E">
        <w:t xml:space="preserve"> с чем государство несет ответс</w:t>
      </w:r>
      <w:r w:rsidR="00D225A7">
        <w:t>твенность за долги предприятия.</w:t>
      </w:r>
    </w:p>
    <w:p w:rsidR="00564FCA" w:rsidRPr="00C21653" w:rsidRDefault="00564FCA" w:rsidP="00C21653">
      <w:pPr>
        <w:pStyle w:val="ECHRHeading2"/>
      </w:pPr>
      <w:r>
        <w:t>B.  Приемлемость жалобы</w:t>
      </w:r>
    </w:p>
    <w:p w:rsidR="009D713A" w:rsidRPr="00C21653" w:rsidRDefault="00564FCA" w:rsidP="00C21653">
      <w:pPr>
        <w:pStyle w:val="ECHRHeading3"/>
      </w:pPr>
      <w:r>
        <w:t>1.  Соблюдение правила шести месяцев</w:t>
      </w:r>
    </w:p>
    <w:p w:rsidR="00AC3740" w:rsidRPr="00C21653" w:rsidRDefault="005B3366" w:rsidP="00C21653">
      <w:pPr>
        <w:pStyle w:val="ECHRPara"/>
        <w:rPr>
          <w:szCs w:val="24"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20</w:t>
      </w:r>
      <w:r>
        <w:rPr>
          <w:noProof/>
        </w:rPr>
        <w:fldChar w:fldCharType="end"/>
      </w:r>
      <w:proofErr w:type="gramStart"/>
      <w:r w:rsidR="000F2D0E">
        <w:t>.  Суд постановил, что жалобы относительно неисполнения муниципальными унитарными предприятиями вступивших в силу решений суда должны подаваться, как правило, в течение шести месяцев с момента завершения производства по делу о несостоятельности соответствующей компании (см. решение Европейского Суда от 31 марта 2015 года по делу «</w:t>
      </w:r>
      <w:proofErr w:type="spellStart"/>
      <w:r w:rsidR="000F2D0E">
        <w:t>Биченок</w:t>
      </w:r>
      <w:proofErr w:type="spellEnd"/>
      <w:r w:rsidR="000F2D0E">
        <w:t xml:space="preserve"> против России» (</w:t>
      </w:r>
      <w:proofErr w:type="spellStart"/>
      <w:r w:rsidR="000F2D0E">
        <w:rPr>
          <w:i/>
        </w:rPr>
        <w:t>Bichenok</w:t>
      </w:r>
      <w:proofErr w:type="spellEnd"/>
      <w:r w:rsidR="000F2D0E">
        <w:rPr>
          <w:i/>
        </w:rPr>
        <w:t xml:space="preserve"> v.</w:t>
      </w:r>
      <w:proofErr w:type="gramEnd"/>
      <w:r w:rsidR="000F2D0E">
        <w:rPr>
          <w:i/>
        </w:rPr>
        <w:t> </w:t>
      </w:r>
      <w:proofErr w:type="spellStart"/>
      <w:proofErr w:type="gramStart"/>
      <w:r w:rsidR="000F2D0E">
        <w:rPr>
          <w:i/>
        </w:rPr>
        <w:t>Russia</w:t>
      </w:r>
      <w:proofErr w:type="spellEnd"/>
      <w:r w:rsidR="000F2D0E">
        <w:t>), жалоба № 13731/08).</w:t>
      </w:r>
      <w:proofErr w:type="gramEnd"/>
    </w:p>
    <w:bookmarkStart w:id="9" w:name="para21"/>
    <w:p w:rsidR="005F3E79" w:rsidRPr="00C21653" w:rsidRDefault="000F2D0E" w:rsidP="00C21653">
      <w:pPr>
        <w:pStyle w:val="ECHRPara"/>
        <w:rPr>
          <w:szCs w:val="24"/>
        </w:rPr>
      </w:pPr>
      <w:r w:rsidRPr="00C21653">
        <w:rPr>
          <w:szCs w:val="24"/>
        </w:rPr>
        <w:fldChar w:fldCharType="begin"/>
      </w:r>
      <w:r w:rsidR="00AC3740" w:rsidRPr="00C21653">
        <w:rPr>
          <w:szCs w:val="24"/>
        </w:rPr>
        <w:instrText xml:space="preserve"> SEQ level0 \*arabic </w:instrText>
      </w:r>
      <w:r w:rsidRPr="00C21653">
        <w:rPr>
          <w:szCs w:val="24"/>
        </w:rPr>
        <w:fldChar w:fldCharType="separate"/>
      </w:r>
      <w:r w:rsidR="00322751">
        <w:rPr>
          <w:noProof/>
          <w:szCs w:val="24"/>
        </w:rPr>
        <w:t>21</w:t>
      </w:r>
      <w:r w:rsidRPr="00C21653">
        <w:rPr>
          <w:szCs w:val="24"/>
        </w:rPr>
        <w:fldChar w:fldCharType="end"/>
      </w:r>
      <w:bookmarkEnd w:id="9"/>
      <w:r>
        <w:t xml:space="preserve">.  Вторая заявительница подала жалобу 16 января 2008 года, в то время как производство по делу о несостоятельности в отношении муниципального предприятия было </w:t>
      </w:r>
      <w:r>
        <w:lastRenderedPageBreak/>
        <w:t>прекращено 7</w:t>
      </w:r>
      <w:r w:rsidR="00A12476">
        <w:t> </w:t>
      </w:r>
      <w:r>
        <w:t xml:space="preserve">мая 2007 года (см. пункт </w:t>
      </w:r>
      <w:r w:rsidRPr="00C21653">
        <w:rPr>
          <w:szCs w:val="24"/>
        </w:rPr>
        <w:fldChar w:fldCharType="begin"/>
      </w:r>
      <w:r w:rsidR="005F3E79" w:rsidRPr="00C21653">
        <w:rPr>
          <w:szCs w:val="24"/>
        </w:rPr>
        <w:instrText xml:space="preserve"> REF para8 \h </w:instrText>
      </w:r>
      <w:r w:rsidRPr="00C21653">
        <w:rPr>
          <w:szCs w:val="24"/>
        </w:rPr>
      </w:r>
      <w:r w:rsidRPr="00C21653">
        <w:rPr>
          <w:szCs w:val="24"/>
        </w:rPr>
        <w:fldChar w:fldCharType="separate"/>
      </w:r>
      <w:r w:rsidR="00322751">
        <w:rPr>
          <w:noProof/>
        </w:rPr>
        <w:t>8</w:t>
      </w:r>
      <w:r w:rsidRPr="00C21653">
        <w:rPr>
          <w:szCs w:val="24"/>
        </w:rPr>
        <w:fldChar w:fldCharType="end"/>
      </w:r>
      <w:r>
        <w:t xml:space="preserve"> выше). Таким образом, жалоба второй заявительницы является неприемлемой, поскольку была подана несвоевременно.</w:t>
      </w:r>
    </w:p>
    <w:p w:rsidR="00564FCA" w:rsidRPr="00C21653" w:rsidRDefault="00DA54FF" w:rsidP="00C21653">
      <w:pPr>
        <w:pStyle w:val="ECHRHeading3"/>
      </w:pPr>
      <w:r>
        <w:t xml:space="preserve">2.  Наличие компетенции </w:t>
      </w:r>
      <w:proofErr w:type="spellStart"/>
      <w:r>
        <w:t>ratione</w:t>
      </w:r>
      <w:proofErr w:type="spellEnd"/>
      <w:r>
        <w:t xml:space="preserve"> </w:t>
      </w:r>
      <w:proofErr w:type="spellStart"/>
      <w:r>
        <w:t>personae</w:t>
      </w:r>
      <w:proofErr w:type="spellEnd"/>
    </w:p>
    <w:p w:rsidR="00564FCA" w:rsidRPr="00C21653" w:rsidRDefault="005B3366" w:rsidP="00C21653">
      <w:pPr>
        <w:pStyle w:val="ECHRPara"/>
        <w:rPr>
          <w:i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22</w:t>
      </w:r>
      <w:r>
        <w:rPr>
          <w:noProof/>
        </w:rPr>
        <w:fldChar w:fldCharType="end"/>
      </w:r>
      <w:r w:rsidR="000F2D0E">
        <w:t xml:space="preserve">.  Суд постановил, что существующая </w:t>
      </w:r>
      <w:r w:rsidR="00141FF6">
        <w:t xml:space="preserve">российская </w:t>
      </w:r>
      <w:r w:rsidR="000F2D0E">
        <w:t xml:space="preserve">правовая </w:t>
      </w:r>
      <w:r w:rsidR="004E7841">
        <w:t xml:space="preserve">система </w:t>
      </w:r>
      <w:r w:rsidR="000F2D0E">
        <w:t xml:space="preserve">не предусматривает унитарных компаний со степенью институциональной и оперативной независимости, которая освобождает государство от ответственности </w:t>
      </w:r>
      <w:r w:rsidR="00141FF6">
        <w:t xml:space="preserve">за долги таких компаний </w:t>
      </w:r>
      <w:r w:rsidR="004E7841">
        <w:t xml:space="preserve">в соответствии с положениями </w:t>
      </w:r>
      <w:r w:rsidR="000F2D0E">
        <w:t>Конвенции (см. упоминавшееся выше постановление по делу «</w:t>
      </w:r>
      <w:proofErr w:type="spellStart"/>
      <w:r w:rsidR="000F2D0E">
        <w:t>Лисейцева</w:t>
      </w:r>
      <w:proofErr w:type="spellEnd"/>
      <w:r w:rsidR="000F2D0E">
        <w:t xml:space="preserve"> и Маслов против </w:t>
      </w:r>
      <w:r w:rsidR="00A12476">
        <w:t>России», пункты 193–</w:t>
      </w:r>
      <w:r w:rsidR="000F2D0E">
        <w:t xml:space="preserve">204). Чтобы </w:t>
      </w:r>
      <w:r w:rsidR="004E7841">
        <w:t>рассмотреть</w:t>
      </w:r>
      <w:r w:rsidR="000F2D0E">
        <w:t xml:space="preserve"> вопрос об ответственности государства по долгам унитарных предприятий</w:t>
      </w:r>
      <w:r w:rsidR="004E7841" w:rsidRPr="004E7841">
        <w:t xml:space="preserve"> </w:t>
      </w:r>
      <w:r w:rsidR="004E7841">
        <w:t>в рамках настоящего дела</w:t>
      </w:r>
      <w:r w:rsidR="000F2D0E">
        <w:t xml:space="preserve">, Суд должен </w:t>
      </w:r>
      <w:r w:rsidR="004E7841">
        <w:t>установить</w:t>
      </w:r>
      <w:r w:rsidR="000F2D0E">
        <w:t xml:space="preserve"> осуществляло ли фактически государство исчерпывающие полномочия по контролю, предусмотренные</w:t>
      </w:r>
      <w:r w:rsidR="004E7841">
        <w:t xml:space="preserve"> национальным законодательством</w:t>
      </w:r>
      <w:r w:rsidR="000F2D0E">
        <w:t>.</w:t>
      </w:r>
    </w:p>
    <w:bookmarkStart w:id="10" w:name="para19"/>
    <w:p w:rsidR="00564FCA" w:rsidRPr="00C21653" w:rsidRDefault="000F2D0E" w:rsidP="00C21653">
      <w:pPr>
        <w:pStyle w:val="ECHRPara"/>
      </w:pPr>
      <w:r w:rsidRPr="00C21653">
        <w:fldChar w:fldCharType="begin"/>
      </w:r>
      <w:r w:rsidR="00564FCA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23</w:t>
      </w:r>
      <w:r w:rsidRPr="00C21653">
        <w:fldChar w:fldCharType="end"/>
      </w:r>
      <w:bookmarkEnd w:id="10"/>
      <w:r>
        <w:t>.  Суд отмечает, что муниципальное предприятие было учреждено для оказания жилищно-коммунальных услуг и услуг по отоплению муниципального жилья (см. пункт</w:t>
      </w:r>
      <w:r w:rsidR="00A12476">
        <w:t> </w:t>
      </w:r>
      <w:r w:rsidRPr="00C21653">
        <w:fldChar w:fldCharType="begin"/>
      </w:r>
      <w:r w:rsidR="00773189" w:rsidRPr="00C21653">
        <w:instrText xml:space="preserve"> REF para9 \h </w:instrText>
      </w:r>
      <w:r w:rsidRPr="00C21653">
        <w:fldChar w:fldCharType="separate"/>
      </w:r>
      <w:r w:rsidR="00322751">
        <w:rPr>
          <w:noProof/>
        </w:rPr>
        <w:t>9</w:t>
      </w:r>
      <w:r w:rsidRPr="00C21653">
        <w:fldChar w:fldCharType="end"/>
      </w:r>
      <w:r>
        <w:t xml:space="preserve"> выше). </w:t>
      </w:r>
      <w:proofErr w:type="gramStart"/>
      <w:r>
        <w:t>В упоминавшемся выше постановлении по делу «</w:t>
      </w:r>
      <w:proofErr w:type="spellStart"/>
      <w:r>
        <w:t>Лисейцева</w:t>
      </w:r>
      <w:proofErr w:type="spellEnd"/>
      <w:r>
        <w:t xml:space="preserve"> и Маслов против России» (пункт 208) Суд постановил, что институциональные связи предприятия с государственной администрацией были усилены особым характером его деятельности (см. также постановление Европейского Суда от 8</w:t>
      </w:r>
      <w:r w:rsidR="00A12476">
        <w:t> </w:t>
      </w:r>
      <w:r>
        <w:t>апреля 2010</w:t>
      </w:r>
      <w:r w:rsidR="00A12476">
        <w:t> </w:t>
      </w:r>
      <w:r>
        <w:t>года по делу «Ершова против России» (</w:t>
      </w:r>
      <w:proofErr w:type="spellStart"/>
      <w:r>
        <w:rPr>
          <w:i/>
        </w:rPr>
        <w:t>Yershova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t>), жалоба №</w:t>
      </w:r>
      <w:r w:rsidR="00A12476">
        <w:t> </w:t>
      </w:r>
      <w:r>
        <w:t>1387/04, пункт</w:t>
      </w:r>
      <w:r w:rsidR="00A12476">
        <w:t> </w:t>
      </w:r>
      <w:r>
        <w:t>58).</w:t>
      </w:r>
      <w:proofErr w:type="gramEnd"/>
    </w:p>
    <w:p w:rsidR="00DA54FF" w:rsidRPr="00C21653" w:rsidRDefault="000F2D0E" w:rsidP="00C21653">
      <w:pPr>
        <w:pStyle w:val="ECHRPara"/>
      </w:pPr>
      <w:r w:rsidRPr="00C21653">
        <w:fldChar w:fldCharType="begin"/>
      </w:r>
      <w:r w:rsidR="00564FCA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24</w:t>
      </w:r>
      <w:r w:rsidRPr="00C21653">
        <w:fldChar w:fldCharType="end"/>
      </w:r>
      <w:r>
        <w:t xml:space="preserve">.  Кроме того, о фактической степени контроля государства над деятельностью предприятия свидетельствует и тот факт, что местные власти распоряжались имуществом предприятия по своему усмотрению. </w:t>
      </w:r>
      <w:proofErr w:type="gramStart"/>
      <w:r>
        <w:t>Согласно информации, представленной заявителями и не осп</w:t>
      </w:r>
      <w:r w:rsidR="00141FF6">
        <w:t>оренной</w:t>
      </w:r>
      <w:r>
        <w:t xml:space="preserve"> Властями, 27</w:t>
      </w:r>
      <w:r w:rsidR="00A12476">
        <w:t> </w:t>
      </w:r>
      <w:r>
        <w:t>апреля 2002</w:t>
      </w:r>
      <w:r w:rsidR="00A12476">
        <w:t> </w:t>
      </w:r>
      <w:r>
        <w:t>года местные власти отменили право хозяйственного ведения муниципального предприятия в отношении большей части активов (см. пункт </w:t>
      </w:r>
      <w:r w:rsidRPr="00C21653">
        <w:fldChar w:fldCharType="begin"/>
      </w:r>
      <w:r w:rsidR="00773189" w:rsidRPr="00C21653">
        <w:instrText xml:space="preserve"> REF para10 \h </w:instrText>
      </w:r>
      <w:r w:rsidRPr="00C21653">
        <w:fldChar w:fldCharType="separate"/>
      </w:r>
      <w:r w:rsidR="00322751">
        <w:rPr>
          <w:noProof/>
        </w:rPr>
        <w:t>10</w:t>
      </w:r>
      <w:r w:rsidRPr="00C21653">
        <w:fldChar w:fldCharType="end"/>
      </w:r>
      <w:r>
        <w:t xml:space="preserve"> выше) для последующей передачи в ведение нового предприятия.</w:t>
      </w:r>
      <w:proofErr w:type="gramEnd"/>
      <w:r>
        <w:t xml:space="preserve"> Суд рассматривал аналогичн</w:t>
      </w:r>
      <w:r w:rsidR="004E7841">
        <w:t>ый</w:t>
      </w:r>
      <w:r>
        <w:t xml:space="preserve"> </w:t>
      </w:r>
      <w:r w:rsidR="004E7841">
        <w:t>случай</w:t>
      </w:r>
      <w:r>
        <w:t xml:space="preserve"> в упоминавшемся выше постановлении по делу «</w:t>
      </w:r>
      <w:proofErr w:type="spellStart"/>
      <w:r>
        <w:t>Лисейцева</w:t>
      </w:r>
      <w:proofErr w:type="spellEnd"/>
      <w:r>
        <w:t xml:space="preserve"> и Маслов против России» (пункты 211 и 217) и пришел к выводу о том, что государство фактически осуществляло значительный </w:t>
      </w:r>
      <w:proofErr w:type="gramStart"/>
      <w:r>
        <w:t>контроль за</w:t>
      </w:r>
      <w:proofErr w:type="gramEnd"/>
      <w:r>
        <w:t xml:space="preserve"> деятельностью и активами предприятия, </w:t>
      </w:r>
      <w:r w:rsidR="004E7841">
        <w:t>и соответственно</w:t>
      </w:r>
      <w:r>
        <w:t xml:space="preserve"> несло ответственность за его долги.</w:t>
      </w:r>
    </w:p>
    <w:bookmarkStart w:id="11" w:name="para25"/>
    <w:p w:rsidR="00564FCA" w:rsidRPr="00C21653" w:rsidRDefault="000F2D0E" w:rsidP="00C21653">
      <w:pPr>
        <w:pStyle w:val="ECHRPara"/>
      </w:pPr>
      <w:r w:rsidRPr="00C21653">
        <w:fldChar w:fldCharType="begin"/>
      </w:r>
      <w:r w:rsidR="00564FCA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25</w:t>
      </w:r>
      <w:r w:rsidRPr="00C21653">
        <w:fldChar w:fldCharType="end"/>
      </w:r>
      <w:bookmarkEnd w:id="11"/>
      <w:r>
        <w:t>.  </w:t>
      </w:r>
      <w:r w:rsidR="004E7841">
        <w:t>Учитывая изложенное</w:t>
      </w:r>
      <w:r>
        <w:t xml:space="preserve">, Суд приходит к </w:t>
      </w:r>
      <w:r w:rsidR="004E7841">
        <w:t>выводу</w:t>
      </w:r>
      <w:r>
        <w:t xml:space="preserve">, что муниципальное предприятие не обладало достаточной институциональной и операционной независимостью от органов муниципального управления, и поэтому отклоняет возражение </w:t>
      </w:r>
      <w:proofErr w:type="spellStart"/>
      <w:r>
        <w:rPr>
          <w:i/>
        </w:rPr>
        <w:t>ratione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personae</w:t>
      </w:r>
      <w:proofErr w:type="spellEnd"/>
      <w:r>
        <w:t xml:space="preserve"> Властей. Таким образом, в соответствии с Конвенцией муниципальное образование, а, следовательно, и государство несут перед первым заявителем ответственность за долги предприятия-ответчика, установленные вступившим в законную силу решением в пользу заявителя.</w:t>
      </w:r>
    </w:p>
    <w:p w:rsidR="00564FCA" w:rsidRPr="00C21653" w:rsidRDefault="00F267AD" w:rsidP="00C21653">
      <w:pPr>
        <w:pStyle w:val="ECHRHeading3"/>
      </w:pPr>
      <w:r>
        <w:t>3.  Исчерпание внутригосударственных сре</w:t>
      </w:r>
      <w:proofErr w:type="gramStart"/>
      <w:r>
        <w:t>дств пр</w:t>
      </w:r>
      <w:proofErr w:type="gramEnd"/>
      <w:r>
        <w:t>авовой защиты</w:t>
      </w:r>
    </w:p>
    <w:p w:rsidR="00564FCA" w:rsidRPr="00C21653" w:rsidRDefault="005B3366" w:rsidP="00C21653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26</w:t>
      </w:r>
      <w:r>
        <w:rPr>
          <w:noProof/>
        </w:rPr>
        <w:fldChar w:fldCharType="end"/>
      </w:r>
      <w:r w:rsidR="000F2D0E">
        <w:t>.  В упоминавшемся выше постановлении по делу «</w:t>
      </w:r>
      <w:proofErr w:type="spellStart"/>
      <w:r w:rsidR="000F2D0E">
        <w:t>Лисейцева</w:t>
      </w:r>
      <w:proofErr w:type="spellEnd"/>
      <w:r w:rsidR="000F2D0E">
        <w:t xml:space="preserve"> и Маслов против России» (пункт 164), Суд отклонил аналогичное возражение, выдвинутое Властями. Суд не усматривает оснований для иного вывода по настоящему делу.</w:t>
      </w:r>
    </w:p>
    <w:p w:rsidR="00564FCA" w:rsidRPr="00C21653" w:rsidRDefault="00F267AD" w:rsidP="00C21653">
      <w:pPr>
        <w:pStyle w:val="ECHRHeading3"/>
        <w:rPr>
          <w:rFonts w:eastAsiaTheme="minorEastAsia"/>
        </w:rPr>
      </w:pPr>
      <w:r>
        <w:t>4.  Заключение</w:t>
      </w:r>
    </w:p>
    <w:p w:rsidR="00564FCA" w:rsidRPr="00C21653" w:rsidRDefault="005B3366" w:rsidP="00C21653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27</w:t>
      </w:r>
      <w:r>
        <w:rPr>
          <w:noProof/>
        </w:rPr>
        <w:fldChar w:fldCharType="end"/>
      </w:r>
      <w:r w:rsidR="000F2D0E">
        <w:t>.  Суд также отмечает, что жалоба первого заявителя по статьям 6 и 13 Конвенции и статье 1 Протокола № 1 к Конвенции не явля</w:t>
      </w:r>
      <w:r w:rsidR="004E7841">
        <w:t>е</w:t>
      </w:r>
      <w:r w:rsidR="000F2D0E">
        <w:t>тся явно необоснованн</w:t>
      </w:r>
      <w:r w:rsidR="00141FF6">
        <w:t>ой</w:t>
      </w:r>
      <w:r w:rsidR="000F2D0E">
        <w:t xml:space="preserve"> по смыслу подпункта «а» пункта 3 статьи 35 Конвенции, и что он</w:t>
      </w:r>
      <w:r w:rsidR="004E7841">
        <w:t>а</w:t>
      </w:r>
      <w:r w:rsidR="000F2D0E">
        <w:t xml:space="preserve"> не явля</w:t>
      </w:r>
      <w:r w:rsidR="004E7841">
        <w:t>е</w:t>
      </w:r>
      <w:r w:rsidR="000F2D0E">
        <w:t>тся неприемлем</w:t>
      </w:r>
      <w:r w:rsidR="004E7841">
        <w:t>ой</w:t>
      </w:r>
      <w:r w:rsidR="000F2D0E">
        <w:t xml:space="preserve"> по каким-либо иным основаниям. Соответственно, она должна быть признана приемлемой. Что касается жалобы второй заявительницы, то она является неприемлемой, поскольку была подана несвоевременно (см. пункт </w:t>
      </w:r>
      <w:r w:rsidR="000F2D0E" w:rsidRPr="00C21653">
        <w:fldChar w:fldCharType="begin"/>
      </w:r>
      <w:r w:rsidR="000F7BE3" w:rsidRPr="00C21653">
        <w:instrText xml:space="preserve"> REF para21 \h </w:instrText>
      </w:r>
      <w:r w:rsidR="000F2D0E" w:rsidRPr="00C21653">
        <w:fldChar w:fldCharType="separate"/>
      </w:r>
      <w:r w:rsidR="00322751">
        <w:rPr>
          <w:noProof/>
          <w:szCs w:val="24"/>
        </w:rPr>
        <w:t>21</w:t>
      </w:r>
      <w:r w:rsidR="000F2D0E" w:rsidRPr="00C21653">
        <w:fldChar w:fldCharType="end"/>
      </w:r>
      <w:r w:rsidR="000F2D0E">
        <w:t xml:space="preserve"> выше).</w:t>
      </w:r>
    </w:p>
    <w:p w:rsidR="00564FCA" w:rsidRPr="00C21653" w:rsidRDefault="00564FCA" w:rsidP="00C21653">
      <w:pPr>
        <w:pStyle w:val="ECHRHeading2"/>
      </w:pPr>
      <w:r>
        <w:lastRenderedPageBreak/>
        <w:t>C.  Существо жалобы</w:t>
      </w:r>
    </w:p>
    <w:p w:rsidR="00564FCA" w:rsidRPr="00C21653" w:rsidRDefault="000F2D0E" w:rsidP="00C21653">
      <w:pPr>
        <w:pStyle w:val="ECHRPara"/>
      </w:pPr>
      <w:r w:rsidRPr="00C21653">
        <w:fldChar w:fldCharType="begin"/>
      </w:r>
      <w:r w:rsidR="00564FCA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28</w:t>
      </w:r>
      <w:r w:rsidRPr="00C21653">
        <w:fldChar w:fldCharType="end"/>
      </w:r>
      <w:r>
        <w:t>.  Суд отмечает, что вынесенное в пользу заявителя решение суда на сегодняшний день не исполнено.</w:t>
      </w:r>
    </w:p>
    <w:p w:rsidR="00564FCA" w:rsidRPr="00C21653" w:rsidRDefault="005B3366" w:rsidP="00C21653">
      <w:pPr>
        <w:pStyle w:val="ECHRPara"/>
      </w:pPr>
      <w:r>
        <w:fldChar w:fldCharType="begin"/>
      </w:r>
      <w:r>
        <w:instrText xml:space="preserve"> </w:instrText>
      </w:r>
      <w:r>
        <w:instrText xml:space="preserve">SEQ level0 \*arabic </w:instrText>
      </w:r>
      <w:r>
        <w:fldChar w:fldCharType="separate"/>
      </w:r>
      <w:r w:rsidR="00322751">
        <w:rPr>
          <w:noProof/>
        </w:rPr>
        <w:t>29</w:t>
      </w:r>
      <w:r>
        <w:rPr>
          <w:noProof/>
        </w:rPr>
        <w:fldChar w:fldCharType="end"/>
      </w:r>
      <w:r w:rsidR="000F2D0E">
        <w:t>.  Суд установил, что государство несет в соответствии с Конвенцией ответственность за долги муниципального предприятия (см. пункт</w:t>
      </w:r>
      <w:r w:rsidR="00A12476">
        <w:t> </w:t>
      </w:r>
      <w:r w:rsidR="00D225A7">
        <w:fldChar w:fldCharType="begin"/>
      </w:r>
      <w:r w:rsidR="00D225A7">
        <w:instrText xml:space="preserve"> REF para25 \h  \* MERGEFORMAT </w:instrText>
      </w:r>
      <w:r w:rsidR="00D225A7">
        <w:fldChar w:fldCharType="separate"/>
      </w:r>
      <w:r w:rsidR="00322751">
        <w:rPr>
          <w:noProof/>
        </w:rPr>
        <w:t>25</w:t>
      </w:r>
      <w:r w:rsidR="00D225A7">
        <w:fldChar w:fldCharType="end"/>
      </w:r>
      <w:r w:rsidR="000F2D0E">
        <w:t xml:space="preserve"> выше). Уклоняясь от исполнения вынесенных судом решений, национальные власти лишили заявителя возможности получить денежные средства, которые он обоснованно рассчитывал получить. По аналогичным делам Суд пришел к выводу о наличии нарушения статьи 6 Конвенции и статьи 1 Протокола № 1 к Конвенции (см. упоминавшееся выше постановление по делу «</w:t>
      </w:r>
      <w:proofErr w:type="spellStart"/>
      <w:r w:rsidR="000F2D0E">
        <w:t>Лисейцева</w:t>
      </w:r>
      <w:proofErr w:type="spellEnd"/>
      <w:r w:rsidR="000F2D0E">
        <w:t xml:space="preserve"> и Маслов против России», пункты 208–224).</w:t>
      </w:r>
    </w:p>
    <w:p w:rsidR="00564FCA" w:rsidRPr="00C21653" w:rsidRDefault="000F2D0E" w:rsidP="00C21653">
      <w:pPr>
        <w:pStyle w:val="ECHRPara"/>
      </w:pPr>
      <w:r w:rsidRPr="00C21653">
        <w:fldChar w:fldCharType="begin"/>
      </w:r>
      <w:r w:rsidR="00564FCA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30</w:t>
      </w:r>
      <w:r w:rsidRPr="00C21653">
        <w:fldChar w:fldCharType="end"/>
      </w:r>
      <w:proofErr w:type="gramStart"/>
      <w:r>
        <w:t>.  В отношении наличия эффективных средств правовой защиты, при рассмотрении аналогичных дел (см. упоминавшееся выше постановление по делу «</w:t>
      </w:r>
      <w:proofErr w:type="spellStart"/>
      <w:r>
        <w:t>Лисейцева</w:t>
      </w:r>
      <w:proofErr w:type="spellEnd"/>
      <w:r>
        <w:t xml:space="preserve"> и Ма</w:t>
      </w:r>
      <w:r w:rsidR="00A12476">
        <w:t>слов против России», пункты 165–</w:t>
      </w:r>
      <w:r>
        <w:t>72), Суд ранее указывал, что какие-либо эффективные средства правовой защиты у заявителей, пытавшихся добиться исполнения решений, вынесенных против муниципальных унитарных предприятий, либо компенсации за предполагаемые нарушения, отсутствовали.</w:t>
      </w:r>
      <w:proofErr w:type="gramEnd"/>
    </w:p>
    <w:p w:rsidR="00564FCA" w:rsidRPr="00C21653" w:rsidRDefault="000F2D0E" w:rsidP="00C21653">
      <w:pPr>
        <w:pStyle w:val="ECHRPara"/>
      </w:pPr>
      <w:r w:rsidRPr="00C21653">
        <w:fldChar w:fldCharType="begin"/>
      </w:r>
      <w:r w:rsidR="00B67292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31</w:t>
      </w:r>
      <w:r w:rsidRPr="00C21653">
        <w:fldChar w:fldCharType="end"/>
      </w:r>
      <w:r>
        <w:t>.  Суд не усматривает оснований для принятия иного решения по настоящему делу. Соответственно, Суд считает, что по делу было допущено нарушение пункта 1 статьи 6, статьи 13 Конвенции и статьи 1 Протокола № 1 к Конвенции в связи с неисполнением вынесенных в пользу заявителя вступивших в законную силу судебных решений и отсутствием эффективных сре</w:t>
      </w:r>
      <w:proofErr w:type="gramStart"/>
      <w:r>
        <w:t>дств пр</w:t>
      </w:r>
      <w:proofErr w:type="gramEnd"/>
      <w:r>
        <w:t>авовой защиты.</w:t>
      </w:r>
    </w:p>
    <w:p w:rsidR="00DA54FF" w:rsidRPr="00C21653" w:rsidRDefault="003B5918" w:rsidP="00C21653">
      <w:pPr>
        <w:pStyle w:val="ECHRHeading1"/>
      </w:pPr>
      <w:r>
        <w:t>III.  ДРУГИЕ ЖАЛОБЫ</w:t>
      </w:r>
    </w:p>
    <w:p w:rsidR="00DA54FF" w:rsidRPr="00C21653" w:rsidRDefault="005B3366" w:rsidP="00C21653">
      <w:pPr>
        <w:pStyle w:val="ECHRPara"/>
      </w:pPr>
      <w:r>
        <w:fldChar w:fldCharType="begin"/>
      </w:r>
      <w:r>
        <w:instrText xml:space="preserve"> SEQ level0 \*ar</w:instrText>
      </w:r>
      <w:r>
        <w:instrText xml:space="preserve">abic </w:instrText>
      </w:r>
      <w:r>
        <w:fldChar w:fldCharType="separate"/>
      </w:r>
      <w:r w:rsidR="00322751">
        <w:rPr>
          <w:noProof/>
        </w:rPr>
        <w:t>32</w:t>
      </w:r>
      <w:r>
        <w:rPr>
          <w:noProof/>
        </w:rPr>
        <w:fldChar w:fldCharType="end"/>
      </w:r>
      <w:r w:rsidR="000F2D0E">
        <w:t xml:space="preserve">.  Суд отмечает, что вторая </w:t>
      </w:r>
      <w:r w:rsidR="004E7841">
        <w:t xml:space="preserve">заявительница также жаловалась на нарушение </w:t>
      </w:r>
      <w:r w:rsidR="000F2D0E">
        <w:t>стать</w:t>
      </w:r>
      <w:r w:rsidR="004E7841">
        <w:t>и</w:t>
      </w:r>
      <w:r w:rsidR="000F2D0E">
        <w:t xml:space="preserve"> 2 Конвенции, </w:t>
      </w:r>
      <w:r w:rsidR="004E7841">
        <w:t>в связи с нанесением вреда ее здоровью</w:t>
      </w:r>
      <w:r w:rsidR="000F2D0E">
        <w:t xml:space="preserve"> (см. пункт </w:t>
      </w:r>
      <w:r w:rsidR="000F2D0E" w:rsidRPr="00C21653">
        <w:fldChar w:fldCharType="begin"/>
      </w:r>
      <w:r w:rsidR="00B20330" w:rsidRPr="00C21653">
        <w:instrText xml:space="preserve"> REF para7 \h </w:instrText>
      </w:r>
      <w:r w:rsidR="000F2D0E" w:rsidRPr="00C21653">
        <w:fldChar w:fldCharType="separate"/>
      </w:r>
      <w:r w:rsidR="00322751">
        <w:rPr>
          <w:noProof/>
        </w:rPr>
        <w:t>7</w:t>
      </w:r>
      <w:r w:rsidR="000F2D0E" w:rsidRPr="00C21653">
        <w:fldChar w:fldCharType="end"/>
      </w:r>
      <w:r w:rsidR="000F2D0E">
        <w:t xml:space="preserve"> выше) и </w:t>
      </w:r>
      <w:r w:rsidR="004E7841">
        <w:t>отсутствие</w:t>
      </w:r>
      <w:r w:rsidR="009E50E7">
        <w:t>м</w:t>
      </w:r>
      <w:r w:rsidR="000F2D0E">
        <w:t xml:space="preserve"> расследовани</w:t>
      </w:r>
      <w:r w:rsidR="004E7841">
        <w:t>я</w:t>
      </w:r>
      <w:r w:rsidR="000F2D0E">
        <w:t xml:space="preserve"> обстоятельств дела</w:t>
      </w:r>
      <w:r w:rsidR="009E50E7">
        <w:t xml:space="preserve">. Она также жаловалась на нарушение </w:t>
      </w:r>
      <w:r w:rsidR="000F2D0E">
        <w:t>стат</w:t>
      </w:r>
      <w:r w:rsidR="009E50E7">
        <w:t>ей</w:t>
      </w:r>
      <w:r w:rsidR="000F2D0E">
        <w:t xml:space="preserve"> 6 и 14 Конвенции, </w:t>
      </w:r>
      <w:r w:rsidR="009E50E7">
        <w:t>в связи с чрезмерно</w:t>
      </w:r>
      <w:r w:rsidR="000F2D0E">
        <w:t xml:space="preserve"> длительн</w:t>
      </w:r>
      <w:r w:rsidR="009E50E7">
        <w:t>ым</w:t>
      </w:r>
      <w:r w:rsidR="000F2D0E">
        <w:t xml:space="preserve"> рассмотрени</w:t>
      </w:r>
      <w:r w:rsidR="009E50E7">
        <w:t>ем</w:t>
      </w:r>
      <w:r w:rsidR="000F2D0E">
        <w:t xml:space="preserve"> </w:t>
      </w:r>
      <w:r w:rsidR="009E50E7">
        <w:t xml:space="preserve">ее дела и </w:t>
      </w:r>
      <w:r w:rsidR="000F2D0E">
        <w:t>ошиб</w:t>
      </w:r>
      <w:r w:rsidR="009E50E7">
        <w:t>ками судов</w:t>
      </w:r>
      <w:r w:rsidR="000F2D0E">
        <w:t xml:space="preserve"> при рассмотрении фактов и применении законодательства, неверно</w:t>
      </w:r>
      <w:r w:rsidR="009E50E7">
        <w:t>м</w:t>
      </w:r>
      <w:r w:rsidR="000F2D0E">
        <w:t xml:space="preserve"> </w:t>
      </w:r>
      <w:r w:rsidR="009E50E7">
        <w:t>расчёте</w:t>
      </w:r>
      <w:r w:rsidR="000F2D0E">
        <w:t xml:space="preserve"> размер</w:t>
      </w:r>
      <w:r w:rsidR="009E50E7">
        <w:t>а</w:t>
      </w:r>
      <w:r w:rsidR="000F2D0E">
        <w:t xml:space="preserve"> компенсации за неполученный доход</w:t>
      </w:r>
      <w:r w:rsidR="009E50E7">
        <w:t xml:space="preserve">, в </w:t>
      </w:r>
      <w:proofErr w:type="gramStart"/>
      <w:r w:rsidR="009E50E7">
        <w:t>связи</w:t>
      </w:r>
      <w:proofErr w:type="gramEnd"/>
      <w:r w:rsidR="009E50E7">
        <w:t xml:space="preserve"> с чем </w:t>
      </w:r>
      <w:r w:rsidR="000F2D0E">
        <w:t>она была подвержена дискриминации с точки зрения ее права на вознаграждение за работу.</w:t>
      </w:r>
    </w:p>
    <w:p w:rsidR="003C31C1" w:rsidRPr="00C21653" w:rsidRDefault="005B3366" w:rsidP="00C21653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22751">
        <w:rPr>
          <w:noProof/>
        </w:rPr>
        <w:t>33</w:t>
      </w:r>
      <w:r>
        <w:rPr>
          <w:noProof/>
        </w:rPr>
        <w:fldChar w:fldCharType="end"/>
      </w:r>
      <w:r w:rsidR="000F2D0E">
        <w:t>.  Принимая во внимание все имеющиеся в его распоряжении доказательства, и в той степени, в которой он уполномочен рассматривать такие утверждения, Суд не обнаруживает какого-либо нарушения прав и свобод, гарантированных данными положениями. Следовательно, в данной части жалоба подлежит отклонению на основании пунктов 3 и 4 статьи 35 Конвенции.</w:t>
      </w:r>
    </w:p>
    <w:p w:rsidR="00014566" w:rsidRPr="00C21653" w:rsidRDefault="00304290" w:rsidP="00C21653">
      <w:pPr>
        <w:pStyle w:val="ECHRHeading1"/>
      </w:pPr>
      <w:r>
        <w:t>IV.  ПРИМЕНЕНИЕ СТАТЬИ 41 КОНВЕНЦИИ</w:t>
      </w:r>
    </w:p>
    <w:p w:rsidR="00014566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34</w:t>
      </w:r>
      <w:r w:rsidRPr="00C21653">
        <w:fldChar w:fldCharType="end"/>
      </w:r>
      <w:r>
        <w:t>.  Статья 41 Конвенции гласит:</w:t>
      </w:r>
    </w:p>
    <w:p w:rsidR="00014566" w:rsidRPr="00C21653" w:rsidRDefault="00014566" w:rsidP="00C21653">
      <w:pPr>
        <w:pStyle w:val="ECHRParaQuote"/>
        <w:keepNext/>
        <w:keepLines/>
      </w:pPr>
      <w:r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C21653" w:rsidRDefault="00014566" w:rsidP="00C21653">
      <w:pPr>
        <w:pStyle w:val="ECHRHeading2"/>
      </w:pPr>
      <w:r>
        <w:t>A.  Ущерб</w:t>
      </w:r>
    </w:p>
    <w:p w:rsidR="00440443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35</w:t>
      </w:r>
      <w:r w:rsidRPr="00C21653">
        <w:fldChar w:fldCharType="end"/>
      </w:r>
      <w:r>
        <w:t xml:space="preserve">.  Первый заявитель требовал присудить ему 11 482 евро в качестве компенсации материального </w:t>
      </w:r>
      <w:r w:rsidR="00141FF6">
        <w:t xml:space="preserve">ущерба </w:t>
      </w:r>
      <w:r>
        <w:t>и морального вреда.</w:t>
      </w:r>
    </w:p>
    <w:p w:rsidR="00014566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36</w:t>
      </w:r>
      <w:r w:rsidRPr="00C21653">
        <w:fldChar w:fldCharType="end"/>
      </w:r>
      <w:r>
        <w:t>.  Власти сочли данные требования необоснованными и чрезмерными.</w:t>
      </w:r>
    </w:p>
    <w:p w:rsidR="00DA54FF" w:rsidRPr="00C21653" w:rsidRDefault="000F2D0E" w:rsidP="00C21653">
      <w:pPr>
        <w:pStyle w:val="ECHRPara"/>
      </w:pPr>
      <w:r w:rsidRPr="00C21653">
        <w:lastRenderedPageBreak/>
        <w:fldChar w:fldCharType="begin"/>
      </w:r>
      <w:r w:rsidR="00F24876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37</w:t>
      </w:r>
      <w:r w:rsidRPr="00C21653">
        <w:fldChar w:fldCharType="end"/>
      </w:r>
      <w:r>
        <w:t xml:space="preserve">.  Принимая во внимание сформулированные ранее выводы, Суд считает </w:t>
      </w:r>
      <w:r w:rsidR="00141FF6">
        <w:t>целесообразным</w:t>
      </w:r>
      <w:r>
        <w:t xml:space="preserve"> </w:t>
      </w:r>
      <w:r w:rsidR="009E50E7">
        <w:t>присудить</w:t>
      </w:r>
      <w:r>
        <w:t xml:space="preserve"> Ким</w:t>
      </w:r>
      <w:r w:rsidR="009E50E7">
        <w:t>у</w:t>
      </w:r>
      <w:r w:rsidR="009E50E7" w:rsidRPr="009E50E7">
        <w:t xml:space="preserve"> </w:t>
      </w:r>
      <w:r w:rsidR="009E50E7">
        <w:t xml:space="preserve">С.Н. </w:t>
      </w:r>
      <w:r>
        <w:t xml:space="preserve">1270 евро, полную сумму, присужденную ему ранее национальными судами, в качестве компенсации материального </w:t>
      </w:r>
      <w:r w:rsidR="00141FF6">
        <w:t>ущерба</w:t>
      </w:r>
      <w:r>
        <w:t>.</w:t>
      </w:r>
    </w:p>
    <w:p w:rsidR="00F24876" w:rsidRPr="00C21653" w:rsidRDefault="000F2D0E" w:rsidP="00C21653">
      <w:pPr>
        <w:pStyle w:val="ECHRPara"/>
      </w:pPr>
      <w:r w:rsidRPr="00C21653">
        <w:fldChar w:fldCharType="begin"/>
      </w:r>
      <w:r w:rsidR="00F24876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38</w:t>
      </w:r>
      <w:r w:rsidRPr="00C21653">
        <w:fldChar w:fldCharType="end"/>
      </w:r>
      <w:proofErr w:type="gramStart"/>
      <w:r>
        <w:t>.  </w:t>
      </w:r>
      <w:r w:rsidR="00141FF6">
        <w:t>В отношении</w:t>
      </w:r>
      <w:r>
        <w:t xml:space="preserve"> морального вреда, Суд считает разумным и справедливым</w:t>
      </w:r>
      <w:r w:rsidR="00F10B78">
        <w:t>и присудить первому заявителю 2</w:t>
      </w:r>
      <w:r w:rsidR="00141FF6">
        <w:t> </w:t>
      </w:r>
      <w:r>
        <w:t>000 евро, а также любой налог, которым</w:t>
      </w:r>
      <w:r w:rsidR="00141FF6">
        <w:t xml:space="preserve"> может облагаться данная сумма </w:t>
      </w:r>
      <w:r>
        <w:t>(см. постановление Европейского Суда от 30</w:t>
      </w:r>
      <w:r w:rsidR="00F10B78">
        <w:t> </w:t>
      </w:r>
      <w:r>
        <w:t>июля 2015</w:t>
      </w:r>
      <w:r w:rsidR="00F10B78">
        <w:t> </w:t>
      </w:r>
      <w:r>
        <w:t>года по делу «Воронков против России» (</w:t>
      </w:r>
      <w:proofErr w:type="spellStart"/>
      <w:r>
        <w:rPr>
          <w:i/>
        </w:rPr>
        <w:t>Voronkov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> </w:t>
      </w:r>
      <w:proofErr w:type="spellStart"/>
      <w:proofErr w:type="gramStart"/>
      <w:r>
        <w:rPr>
          <w:i/>
        </w:rPr>
        <w:t>Russia</w:t>
      </w:r>
      <w:proofErr w:type="spellEnd"/>
      <w:r>
        <w:t>), жалоба № 39678/03, пункты 68</w:t>
      </w:r>
      <w:r w:rsidR="00F10B78">
        <w:t>–</w:t>
      </w:r>
      <w:r>
        <w:t>69).</w:t>
      </w:r>
      <w:proofErr w:type="gramEnd"/>
    </w:p>
    <w:p w:rsidR="00014566" w:rsidRPr="00C21653" w:rsidRDefault="00014566" w:rsidP="00C21653">
      <w:pPr>
        <w:pStyle w:val="ECHRHeading2"/>
      </w:pPr>
      <w:r>
        <w:t>Б.  Расходы и издержки</w:t>
      </w:r>
    </w:p>
    <w:p w:rsidR="00EF59B4" w:rsidRPr="00C21653" w:rsidRDefault="000F2D0E" w:rsidP="00C21653">
      <w:pPr>
        <w:pStyle w:val="ECHRPara"/>
      </w:pPr>
      <w:r w:rsidRPr="00C21653">
        <w:fldChar w:fldCharType="begin"/>
      </w:r>
      <w:r w:rsidR="00F24876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39</w:t>
      </w:r>
      <w:r w:rsidRPr="00C21653">
        <w:fldChar w:fldCharType="end"/>
      </w:r>
      <w:r>
        <w:t>.  Первый заявитель не требовал возмещения расходов и издержек, таким образом, отсутствует необходимость в присуждении компенсации по данному пункту.</w:t>
      </w:r>
    </w:p>
    <w:p w:rsidR="00014566" w:rsidRPr="00C21653" w:rsidRDefault="00014566" w:rsidP="00C21653">
      <w:pPr>
        <w:pStyle w:val="ECHRHeading2"/>
      </w:pPr>
      <w:r>
        <w:t>В.  Проценты за просрочку платежа</w:t>
      </w:r>
    </w:p>
    <w:p w:rsidR="00014566" w:rsidRPr="00C21653" w:rsidRDefault="000F2D0E" w:rsidP="00C21653">
      <w:pPr>
        <w:pStyle w:val="ECHRPara"/>
      </w:pPr>
      <w:r w:rsidRPr="00C21653">
        <w:fldChar w:fldCharType="begin"/>
      </w:r>
      <w:r w:rsidR="00042E1C" w:rsidRPr="00C21653">
        <w:instrText xml:space="preserve"> SEQ level0 \*arabic </w:instrText>
      </w:r>
      <w:r w:rsidRPr="00C21653">
        <w:fldChar w:fldCharType="separate"/>
      </w:r>
      <w:r w:rsidR="00322751">
        <w:rPr>
          <w:noProof/>
        </w:rPr>
        <w:t>40</w:t>
      </w:r>
      <w:r w:rsidRPr="00C21653">
        <w:fldChar w:fldCharType="end"/>
      </w:r>
      <w:proofErr w:type="gramStart"/>
      <w:r>
        <w:t>.  Суд считает приемлемым, что процентная ставка при просрочке платеж</w:t>
      </w:r>
      <w:r w:rsidR="00141FF6">
        <w:t xml:space="preserve">а </w:t>
      </w:r>
      <w:r>
        <w:t>должна быть установлена в размере, равном предельной годовой процентной ставке Европейского центрального банка, плюс три процентных пункта.</w:t>
      </w:r>
      <w:proofErr w:type="gramEnd"/>
    </w:p>
    <w:p w:rsidR="00014566" w:rsidRPr="00C21653" w:rsidRDefault="00BB5883" w:rsidP="00C21653">
      <w:pPr>
        <w:pStyle w:val="ECHRTitle1"/>
      </w:pPr>
      <w:r>
        <w:t>ПО ЭТИМ ОСНОВАНИЯМ СУД ЕДИНОГЛАСНО:</w:t>
      </w:r>
    </w:p>
    <w:p w:rsidR="003B5918" w:rsidRPr="00C21653" w:rsidRDefault="003B5918" w:rsidP="00C21653">
      <w:pPr>
        <w:pStyle w:val="JuList"/>
      </w:pPr>
      <w:r>
        <w:t>1.  </w:t>
      </w:r>
      <w:r>
        <w:rPr>
          <w:i/>
        </w:rPr>
        <w:t>решил</w:t>
      </w:r>
      <w:r>
        <w:t xml:space="preserve"> объединить рассматриваемые жалобы в одно производство;</w:t>
      </w:r>
    </w:p>
    <w:p w:rsidR="003B5918" w:rsidRPr="00C21653" w:rsidRDefault="003B5918" w:rsidP="00C21653">
      <w:pPr>
        <w:pStyle w:val="JuList"/>
      </w:pPr>
    </w:p>
    <w:p w:rsidR="00B637B9" w:rsidRPr="00C21653" w:rsidRDefault="003B5918" w:rsidP="00C21653">
      <w:pPr>
        <w:pStyle w:val="JuList"/>
      </w:pPr>
      <w:r>
        <w:t>2.  </w:t>
      </w:r>
      <w:r w:rsidR="007324AD">
        <w:rPr>
          <w:i/>
        </w:rPr>
        <w:t>признал</w:t>
      </w:r>
      <w:r w:rsidR="007324AD">
        <w:t xml:space="preserve"> </w:t>
      </w:r>
      <w:r>
        <w:t xml:space="preserve">жалобу № 20813/08 неприемлемой, а жалобу </w:t>
      </w:r>
      <w:r w:rsidR="00F10B78">
        <w:t>№ </w:t>
      </w:r>
      <w:r>
        <w:t>22094/05 — приемлемой.</w:t>
      </w:r>
    </w:p>
    <w:p w:rsidR="001350D8" w:rsidRPr="00E738A5" w:rsidRDefault="001350D8" w:rsidP="00C21653">
      <w:pPr>
        <w:pStyle w:val="JuList"/>
      </w:pPr>
    </w:p>
    <w:p w:rsidR="00A538A3" w:rsidRPr="00C21653" w:rsidRDefault="003B5918" w:rsidP="00C21653">
      <w:pPr>
        <w:pStyle w:val="JuList"/>
      </w:pPr>
      <w:r>
        <w:t>3.  </w:t>
      </w:r>
      <w:r>
        <w:rPr>
          <w:i/>
        </w:rPr>
        <w:t>постановил</w:t>
      </w:r>
      <w:r>
        <w:t>, что имело место нарушение пункта 1 статьи 6, статьи 13 Конвенции и статьи 1 Протокола № 1 к Конвенции в связи с неисполнением вынесенных в отношении Кима</w:t>
      </w:r>
      <w:r w:rsidR="00141FF6" w:rsidRPr="00141FF6">
        <w:t xml:space="preserve"> </w:t>
      </w:r>
      <w:r w:rsidR="00141FF6">
        <w:t>С.Н.</w:t>
      </w:r>
      <w:r>
        <w:t xml:space="preserve"> решений </w:t>
      </w:r>
      <w:r w:rsidR="00141FF6">
        <w:t>российских</w:t>
      </w:r>
      <w:r>
        <w:t xml:space="preserve"> судов и отсутствием эффективных сре</w:t>
      </w:r>
      <w:proofErr w:type="gramStart"/>
      <w:r>
        <w:t>дств пр</w:t>
      </w:r>
      <w:proofErr w:type="gramEnd"/>
      <w:r>
        <w:t>авовой защиты в национальном законодательстве;</w:t>
      </w:r>
    </w:p>
    <w:p w:rsidR="00014566" w:rsidRPr="00E738A5" w:rsidRDefault="00014566" w:rsidP="00C21653">
      <w:pPr>
        <w:pStyle w:val="JuList"/>
      </w:pPr>
    </w:p>
    <w:p w:rsidR="00042E1C" w:rsidRPr="00C21653" w:rsidRDefault="003B5918" w:rsidP="00C21653">
      <w:pPr>
        <w:pStyle w:val="JuList"/>
        <w:keepNext/>
        <w:keepLines/>
      </w:pPr>
      <w:r>
        <w:t>4.  </w:t>
      </w:r>
      <w:r>
        <w:rPr>
          <w:i/>
        </w:rPr>
        <w:t>постановил:</w:t>
      </w:r>
    </w:p>
    <w:p w:rsidR="00014566" w:rsidRPr="00C21653" w:rsidRDefault="00014566" w:rsidP="00C21653">
      <w:pPr>
        <w:pStyle w:val="JuLista"/>
        <w:keepNext/>
        <w:keepLines/>
      </w:pPr>
      <w:r>
        <w:t xml:space="preserve">(a)  что в течение трех месяцев государство-ответчик обязано выплатить Киму </w:t>
      </w:r>
      <w:r w:rsidR="00141FF6">
        <w:t xml:space="preserve">С.Н. </w:t>
      </w:r>
      <w:r>
        <w:t>следующие суммы с последующим переводом в валюту государства-ответчика по курсу на день выплаты:</w:t>
      </w:r>
    </w:p>
    <w:p w:rsidR="00D40E75" w:rsidRPr="00C21653" w:rsidRDefault="00D40E75" w:rsidP="00C21653">
      <w:pPr>
        <w:pStyle w:val="JuListi"/>
      </w:pPr>
      <w:r>
        <w:t>(i)  1270 (одна тысяча двести семьдесят) евро в качестве компенсации материального ущерба;</w:t>
      </w:r>
    </w:p>
    <w:p w:rsidR="00D40E75" w:rsidRPr="00C21653" w:rsidRDefault="00D40E75" w:rsidP="00C21653">
      <w:pPr>
        <w:pStyle w:val="JuListi"/>
      </w:pPr>
      <w:r>
        <w:t>(</w:t>
      </w:r>
      <w:proofErr w:type="spellStart"/>
      <w:r>
        <w:t>ii</w:t>
      </w:r>
      <w:proofErr w:type="spellEnd"/>
      <w:r>
        <w:t>)</w:t>
      </w:r>
      <w:r w:rsidR="00F10B78">
        <w:t>  </w:t>
      </w:r>
      <w:r>
        <w:t xml:space="preserve">2000 (две тысячи) </w:t>
      </w:r>
      <w:r w:rsidR="00264D29">
        <w:t xml:space="preserve">евро </w:t>
      </w:r>
      <w:r>
        <w:t>в качестве компенсации морального вреда;</w:t>
      </w:r>
    </w:p>
    <w:p w:rsidR="00014566" w:rsidRPr="00C21653" w:rsidRDefault="00014566" w:rsidP="00C21653">
      <w:pPr>
        <w:pStyle w:val="JuLista"/>
      </w:pPr>
      <w:r>
        <w:t>(б)  что с момента истечения вышеуказанного трехмесячного срока до момента выплаты компенсации на данную сумму начисляются простые проценты в размере, равном предельной учетной ставке Европейского Центрального банка в течение периода начисления пени, плюс три процентных пункта.</w:t>
      </w:r>
    </w:p>
    <w:p w:rsidR="00014566" w:rsidRPr="00E738A5" w:rsidRDefault="00014566" w:rsidP="00C21653">
      <w:pPr>
        <w:pStyle w:val="JuList"/>
      </w:pPr>
    </w:p>
    <w:p w:rsidR="00014566" w:rsidRPr="00C21653" w:rsidRDefault="003B5918" w:rsidP="00C21653">
      <w:pPr>
        <w:pStyle w:val="JuList"/>
      </w:pPr>
      <w:r>
        <w:t>5.  </w:t>
      </w:r>
      <w:r>
        <w:rPr>
          <w:i/>
        </w:rPr>
        <w:t>отклонил</w:t>
      </w:r>
      <w:r>
        <w:rPr>
          <w:color w:val="000000"/>
        </w:rPr>
        <w:t xml:space="preserve"> </w:t>
      </w:r>
      <w:r>
        <w:t>остальные требования первого заявителя о справедливой компенсации.</w:t>
      </w:r>
    </w:p>
    <w:p w:rsidR="00014566" w:rsidRPr="00C21653" w:rsidRDefault="00014566" w:rsidP="00C21653">
      <w:pPr>
        <w:pStyle w:val="JuParaLast"/>
      </w:pPr>
      <w:r>
        <w:t xml:space="preserve">Составлено на английском языке; уведомление направлено в письменном виде </w:t>
      </w:r>
      <w:r w:rsidR="000346E1">
        <w:br/>
      </w:r>
      <w:r>
        <w:t>17 января 2017 года в соответствии с пунктами 2 и 3 правила 77 Регламента Суда.</w:t>
      </w:r>
    </w:p>
    <w:p w:rsidR="00BB7B1F" w:rsidRPr="00C21653" w:rsidRDefault="00014566" w:rsidP="00C21653">
      <w:pPr>
        <w:pStyle w:val="JuSigned"/>
      </w:pPr>
      <w:r>
        <w:tab/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ab/>
        <w:t xml:space="preserve">Хелена </w:t>
      </w:r>
      <w:proofErr w:type="spellStart"/>
      <w:r>
        <w:t>Ядерблом</w:t>
      </w:r>
      <w:proofErr w:type="spellEnd"/>
      <w:r>
        <w:br/>
      </w:r>
      <w:r>
        <w:tab/>
        <w:t>Заместитель Секретаря</w:t>
      </w:r>
      <w:r>
        <w:tab/>
        <w:t>Председатель</w:t>
      </w:r>
    </w:p>
    <w:sectPr w:rsidR="00BB7B1F" w:rsidRPr="00C21653" w:rsidSect="00141FF6">
      <w:headerReference w:type="even" r:id="rId16"/>
      <w:headerReference w:type="default" r:id="rId17"/>
      <w:footnotePr>
        <w:numRestart w:val="eachSect"/>
      </w:footnotePr>
      <w:pgSz w:w="11906" w:h="16838" w:code="9"/>
      <w:pgMar w:top="1021" w:right="1134" w:bottom="964" w:left="1134" w:header="68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66" w:rsidRPr="003A441D" w:rsidRDefault="005B3366" w:rsidP="00014566">
      <w:pPr>
        <w:rPr>
          <w:lang w:val="en-GB"/>
        </w:rPr>
      </w:pPr>
      <w:r w:rsidRPr="003A441D">
        <w:rPr>
          <w:lang w:val="en-GB"/>
        </w:rPr>
        <w:separator/>
      </w:r>
    </w:p>
  </w:endnote>
  <w:endnote w:type="continuationSeparator" w:id="0">
    <w:p w:rsidR="005B3366" w:rsidRPr="003A441D" w:rsidRDefault="005B3366" w:rsidP="00014566">
      <w:pPr>
        <w:rPr>
          <w:lang w:val="en-GB"/>
        </w:rPr>
      </w:pPr>
      <w:r w:rsidRPr="003A441D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2DF" w:rsidRPr="00150BFA" w:rsidRDefault="009352DF" w:rsidP="0020718E">
    <w:pPr>
      <w:jc w:val="center"/>
    </w:pPr>
    <w:r>
      <w:rPr>
        <w:noProof/>
        <w:lang w:eastAsia="ru-RU"/>
      </w:rPr>
      <w:drawing>
        <wp:inline distT="0" distB="0" distL="0" distR="0" wp14:anchorId="3D264AAD" wp14:editId="010BB162">
          <wp:extent cx="771525" cy="619125"/>
          <wp:effectExtent l="0" t="0" r="9525" b="9525"/>
          <wp:docPr id="11" name="Picture 11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2DF" w:rsidRDefault="009352D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66" w:rsidRPr="003A441D" w:rsidRDefault="005B3366" w:rsidP="00014566">
      <w:pPr>
        <w:rPr>
          <w:lang w:val="en-GB"/>
        </w:rPr>
      </w:pPr>
      <w:r w:rsidRPr="003A441D">
        <w:rPr>
          <w:lang w:val="en-GB"/>
        </w:rPr>
        <w:separator/>
      </w:r>
    </w:p>
  </w:footnote>
  <w:footnote w:type="continuationSeparator" w:id="0">
    <w:p w:rsidR="005B3366" w:rsidRPr="003A441D" w:rsidRDefault="005B3366" w:rsidP="00014566">
      <w:pPr>
        <w:rPr>
          <w:lang w:val="en-GB"/>
        </w:rPr>
      </w:pPr>
      <w:r w:rsidRPr="003A441D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A0" w:rsidRPr="009352DF" w:rsidRDefault="00AB5FA0" w:rsidP="009352DF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2DF" w:rsidRPr="00A45145" w:rsidRDefault="009352DF" w:rsidP="00A45145">
    <w:pPr>
      <w:jc w:val="center"/>
    </w:pPr>
    <w:r>
      <w:rPr>
        <w:noProof/>
        <w:lang w:eastAsia="ru-RU"/>
      </w:rPr>
      <w:drawing>
        <wp:inline distT="0" distB="0" distL="0" distR="0" wp14:anchorId="0B6CE49A" wp14:editId="6B8A8BE9">
          <wp:extent cx="2962275" cy="1219200"/>
          <wp:effectExtent l="0" t="0" r="9525" b="0"/>
          <wp:docPr id="6" name="Picture 6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2DF" w:rsidRDefault="009352D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2DF" w:rsidRPr="003A441D" w:rsidRDefault="000F2D0E" w:rsidP="00EE1DA9">
    <w:pPr>
      <w:pStyle w:val="ECHRHeader"/>
    </w:pPr>
    <w:r>
      <w:rPr>
        <w:rStyle w:val="aff1"/>
        <w:szCs w:val="18"/>
      </w:rPr>
      <w:fldChar w:fldCharType="begin"/>
    </w:r>
    <w:r w:rsidR="009352DF"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322751">
      <w:rPr>
        <w:rStyle w:val="aff1"/>
        <w:noProof/>
        <w:szCs w:val="18"/>
      </w:rPr>
      <w:t>2</w:t>
    </w:r>
    <w:r>
      <w:rPr>
        <w:rStyle w:val="aff1"/>
        <w:szCs w:val="18"/>
      </w:rPr>
      <w:fldChar w:fldCharType="end"/>
    </w:r>
    <w:r>
      <w:tab/>
      <w:t>ПОСТАНОВЛЕНИЕ ПО ДЕЛУ «КИМ И РЫНДИНА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2DF" w:rsidRPr="003A441D" w:rsidRDefault="009352DF" w:rsidP="00D60D87">
    <w:pPr>
      <w:pStyle w:val="ECHRHeader"/>
    </w:pPr>
    <w:r>
      <w:tab/>
      <w:t>ПОСТАНОВЛЕНИЕ ПО ДЕЛУ «КИМ И РЫНДИНА против РОССИИ»</w:t>
    </w:r>
    <w:r w:rsidR="000F2D0E"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 w:rsidR="000F2D0E">
      <w:rPr>
        <w:rStyle w:val="aff1"/>
        <w:szCs w:val="18"/>
      </w:rPr>
      <w:fldChar w:fldCharType="separate"/>
    </w:r>
    <w:r w:rsidR="00322751">
      <w:rPr>
        <w:rStyle w:val="aff1"/>
        <w:noProof/>
        <w:szCs w:val="18"/>
      </w:rPr>
      <w:t>5</w:t>
    </w:r>
    <w:r w:rsidR="000F2D0E"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042E1C"/>
    <w:rsid w:val="000010ED"/>
    <w:rsid w:val="0000335C"/>
    <w:rsid w:val="00003FD2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C2D"/>
    <w:rsid w:val="00015F00"/>
    <w:rsid w:val="00022C1D"/>
    <w:rsid w:val="000346E1"/>
    <w:rsid w:val="00034987"/>
    <w:rsid w:val="000350E3"/>
    <w:rsid w:val="00042E1C"/>
    <w:rsid w:val="000602DF"/>
    <w:rsid w:val="00061B05"/>
    <w:rsid w:val="00062973"/>
    <w:rsid w:val="00062D5D"/>
    <w:rsid w:val="000632D5"/>
    <w:rsid w:val="000644EE"/>
    <w:rsid w:val="00071ABC"/>
    <w:rsid w:val="000762EE"/>
    <w:rsid w:val="00082AFA"/>
    <w:rsid w:val="000856D7"/>
    <w:rsid w:val="000925AD"/>
    <w:rsid w:val="0009363B"/>
    <w:rsid w:val="00096362"/>
    <w:rsid w:val="000A0314"/>
    <w:rsid w:val="000A24EB"/>
    <w:rsid w:val="000B3998"/>
    <w:rsid w:val="000B3BC7"/>
    <w:rsid w:val="000B4D43"/>
    <w:rsid w:val="000B6923"/>
    <w:rsid w:val="000C033C"/>
    <w:rsid w:val="000C5F3C"/>
    <w:rsid w:val="000C6DCC"/>
    <w:rsid w:val="000D3E71"/>
    <w:rsid w:val="000D47AA"/>
    <w:rsid w:val="000D65E1"/>
    <w:rsid w:val="000D721F"/>
    <w:rsid w:val="000E01D2"/>
    <w:rsid w:val="000E069B"/>
    <w:rsid w:val="000E0E82"/>
    <w:rsid w:val="000E1DC5"/>
    <w:rsid w:val="000E223F"/>
    <w:rsid w:val="000E35AC"/>
    <w:rsid w:val="000E7D45"/>
    <w:rsid w:val="000F1218"/>
    <w:rsid w:val="000F2D0E"/>
    <w:rsid w:val="000F7851"/>
    <w:rsid w:val="000F7BE3"/>
    <w:rsid w:val="00104E23"/>
    <w:rsid w:val="00111B0C"/>
    <w:rsid w:val="00120D6C"/>
    <w:rsid w:val="001257EC"/>
    <w:rsid w:val="00132C6A"/>
    <w:rsid w:val="00133D33"/>
    <w:rsid w:val="00134D64"/>
    <w:rsid w:val="001350D8"/>
    <w:rsid w:val="00135A30"/>
    <w:rsid w:val="0013612C"/>
    <w:rsid w:val="00137FF6"/>
    <w:rsid w:val="00141650"/>
    <w:rsid w:val="00141FF6"/>
    <w:rsid w:val="00142751"/>
    <w:rsid w:val="001565C9"/>
    <w:rsid w:val="00156C4A"/>
    <w:rsid w:val="00157928"/>
    <w:rsid w:val="00162A12"/>
    <w:rsid w:val="00166530"/>
    <w:rsid w:val="001832BD"/>
    <w:rsid w:val="001943B5"/>
    <w:rsid w:val="00195134"/>
    <w:rsid w:val="001A145B"/>
    <w:rsid w:val="001A674C"/>
    <w:rsid w:val="001B3B24"/>
    <w:rsid w:val="001B6498"/>
    <w:rsid w:val="001C0F98"/>
    <w:rsid w:val="001C2A42"/>
    <w:rsid w:val="001D63ED"/>
    <w:rsid w:val="001D7348"/>
    <w:rsid w:val="001E035B"/>
    <w:rsid w:val="001E0961"/>
    <w:rsid w:val="001E3EAE"/>
    <w:rsid w:val="001E5348"/>
    <w:rsid w:val="001E6F32"/>
    <w:rsid w:val="001F2145"/>
    <w:rsid w:val="001F6262"/>
    <w:rsid w:val="001F67B0"/>
    <w:rsid w:val="001F7B3D"/>
    <w:rsid w:val="00201A94"/>
    <w:rsid w:val="00205F9F"/>
    <w:rsid w:val="00210338"/>
    <w:rsid w:val="002115FC"/>
    <w:rsid w:val="0021163D"/>
    <w:rsid w:val="002133F8"/>
    <w:rsid w:val="0021423C"/>
    <w:rsid w:val="0022564B"/>
    <w:rsid w:val="00230D00"/>
    <w:rsid w:val="00231DF7"/>
    <w:rsid w:val="00231FD1"/>
    <w:rsid w:val="002339E0"/>
    <w:rsid w:val="00233CF8"/>
    <w:rsid w:val="00233D59"/>
    <w:rsid w:val="0023575D"/>
    <w:rsid w:val="00237148"/>
    <w:rsid w:val="0024222D"/>
    <w:rsid w:val="00244B0E"/>
    <w:rsid w:val="00244F6C"/>
    <w:rsid w:val="002532C5"/>
    <w:rsid w:val="0025665E"/>
    <w:rsid w:val="00256993"/>
    <w:rsid w:val="00260C03"/>
    <w:rsid w:val="00262D21"/>
    <w:rsid w:val="00264D29"/>
    <w:rsid w:val="0026540E"/>
    <w:rsid w:val="00270144"/>
    <w:rsid w:val="0027225C"/>
    <w:rsid w:val="00273C15"/>
    <w:rsid w:val="00274DDB"/>
    <w:rsid w:val="00275123"/>
    <w:rsid w:val="00282240"/>
    <w:rsid w:val="0028572A"/>
    <w:rsid w:val="002869B0"/>
    <w:rsid w:val="002944F1"/>
    <w:rsid w:val="002948AD"/>
    <w:rsid w:val="00294C05"/>
    <w:rsid w:val="00294C92"/>
    <w:rsid w:val="00296D42"/>
    <w:rsid w:val="002A01CC"/>
    <w:rsid w:val="002A61B1"/>
    <w:rsid w:val="002A663C"/>
    <w:rsid w:val="002B1E6C"/>
    <w:rsid w:val="002B444B"/>
    <w:rsid w:val="002B5887"/>
    <w:rsid w:val="002C0692"/>
    <w:rsid w:val="002C0E27"/>
    <w:rsid w:val="002C3040"/>
    <w:rsid w:val="002C6D65"/>
    <w:rsid w:val="002C795A"/>
    <w:rsid w:val="002D022D"/>
    <w:rsid w:val="002D24BB"/>
    <w:rsid w:val="002F2AF7"/>
    <w:rsid w:val="002F7E1C"/>
    <w:rsid w:val="00301A75"/>
    <w:rsid w:val="00302F70"/>
    <w:rsid w:val="0030336F"/>
    <w:rsid w:val="0030375E"/>
    <w:rsid w:val="00304290"/>
    <w:rsid w:val="00312A30"/>
    <w:rsid w:val="00320F72"/>
    <w:rsid w:val="00322751"/>
    <w:rsid w:val="0032463E"/>
    <w:rsid w:val="00326224"/>
    <w:rsid w:val="0032676F"/>
    <w:rsid w:val="003274E9"/>
    <w:rsid w:val="00337EE4"/>
    <w:rsid w:val="00340FFD"/>
    <w:rsid w:val="003506B1"/>
    <w:rsid w:val="00356AC7"/>
    <w:rsid w:val="003609FA"/>
    <w:rsid w:val="003710C8"/>
    <w:rsid w:val="003750BE"/>
    <w:rsid w:val="00377ACA"/>
    <w:rsid w:val="00387B9D"/>
    <w:rsid w:val="0039016E"/>
    <w:rsid w:val="0039364F"/>
    <w:rsid w:val="00394AD4"/>
    <w:rsid w:val="00396686"/>
    <w:rsid w:val="0039778E"/>
    <w:rsid w:val="003A441D"/>
    <w:rsid w:val="003B4941"/>
    <w:rsid w:val="003B5918"/>
    <w:rsid w:val="003C31C1"/>
    <w:rsid w:val="003C5714"/>
    <w:rsid w:val="003C6B9F"/>
    <w:rsid w:val="003C6E2A"/>
    <w:rsid w:val="003D0299"/>
    <w:rsid w:val="003D4103"/>
    <w:rsid w:val="003E6D80"/>
    <w:rsid w:val="003F05FA"/>
    <w:rsid w:val="003F244A"/>
    <w:rsid w:val="003F30B8"/>
    <w:rsid w:val="003F41B4"/>
    <w:rsid w:val="003F46EF"/>
    <w:rsid w:val="003F4C45"/>
    <w:rsid w:val="003F5F7B"/>
    <w:rsid w:val="003F7D64"/>
    <w:rsid w:val="00414300"/>
    <w:rsid w:val="00425C67"/>
    <w:rsid w:val="00426B7C"/>
    <w:rsid w:val="00427E7A"/>
    <w:rsid w:val="00436307"/>
    <w:rsid w:val="00436C49"/>
    <w:rsid w:val="00440443"/>
    <w:rsid w:val="00445366"/>
    <w:rsid w:val="00447F5B"/>
    <w:rsid w:val="00461DB0"/>
    <w:rsid w:val="00462C2A"/>
    <w:rsid w:val="00463926"/>
    <w:rsid w:val="004646E0"/>
    <w:rsid w:val="00464C9A"/>
    <w:rsid w:val="00474F3D"/>
    <w:rsid w:val="004767C6"/>
    <w:rsid w:val="00477E3A"/>
    <w:rsid w:val="00483C73"/>
    <w:rsid w:val="00483DC8"/>
    <w:rsid w:val="00483E5F"/>
    <w:rsid w:val="00485FF9"/>
    <w:rsid w:val="004907F0"/>
    <w:rsid w:val="0049140B"/>
    <w:rsid w:val="004923A5"/>
    <w:rsid w:val="00495A58"/>
    <w:rsid w:val="00496BFB"/>
    <w:rsid w:val="004A15C7"/>
    <w:rsid w:val="004A7C82"/>
    <w:rsid w:val="004B013B"/>
    <w:rsid w:val="004B112B"/>
    <w:rsid w:val="004C01E4"/>
    <w:rsid w:val="004C086C"/>
    <w:rsid w:val="004C1F56"/>
    <w:rsid w:val="004C27BC"/>
    <w:rsid w:val="004D15F3"/>
    <w:rsid w:val="004D5311"/>
    <w:rsid w:val="004D5DCC"/>
    <w:rsid w:val="004D703E"/>
    <w:rsid w:val="004E7792"/>
    <w:rsid w:val="004E7841"/>
    <w:rsid w:val="004F082E"/>
    <w:rsid w:val="004F0D26"/>
    <w:rsid w:val="004F10AF"/>
    <w:rsid w:val="004F11A4"/>
    <w:rsid w:val="004F2389"/>
    <w:rsid w:val="004F304D"/>
    <w:rsid w:val="004F61BE"/>
    <w:rsid w:val="004F66B1"/>
    <w:rsid w:val="005109DB"/>
    <w:rsid w:val="00511C07"/>
    <w:rsid w:val="005173A6"/>
    <w:rsid w:val="00520BAA"/>
    <w:rsid w:val="00525208"/>
    <w:rsid w:val="005257A5"/>
    <w:rsid w:val="005264C0"/>
    <w:rsid w:val="00526A8A"/>
    <w:rsid w:val="00531DF2"/>
    <w:rsid w:val="005442EE"/>
    <w:rsid w:val="00547353"/>
    <w:rsid w:val="005474E7"/>
    <w:rsid w:val="00550F44"/>
    <w:rsid w:val="005512A3"/>
    <w:rsid w:val="005578CE"/>
    <w:rsid w:val="00562781"/>
    <w:rsid w:val="00563E83"/>
    <w:rsid w:val="00564FCA"/>
    <w:rsid w:val="0056617F"/>
    <w:rsid w:val="0057271C"/>
    <w:rsid w:val="00572845"/>
    <w:rsid w:val="00592772"/>
    <w:rsid w:val="0059574A"/>
    <w:rsid w:val="005A1B9B"/>
    <w:rsid w:val="005A6751"/>
    <w:rsid w:val="005B092E"/>
    <w:rsid w:val="005B152C"/>
    <w:rsid w:val="005B1EE0"/>
    <w:rsid w:val="005B2B24"/>
    <w:rsid w:val="005B3366"/>
    <w:rsid w:val="005B4425"/>
    <w:rsid w:val="005B4B94"/>
    <w:rsid w:val="005B62FE"/>
    <w:rsid w:val="005C3EE8"/>
    <w:rsid w:val="005D34F9"/>
    <w:rsid w:val="005D4190"/>
    <w:rsid w:val="005D67A3"/>
    <w:rsid w:val="005E2988"/>
    <w:rsid w:val="005E2A43"/>
    <w:rsid w:val="005E3085"/>
    <w:rsid w:val="005E4186"/>
    <w:rsid w:val="005E438A"/>
    <w:rsid w:val="005F3E79"/>
    <w:rsid w:val="005F51E1"/>
    <w:rsid w:val="00602112"/>
    <w:rsid w:val="00611C80"/>
    <w:rsid w:val="00620692"/>
    <w:rsid w:val="006242CA"/>
    <w:rsid w:val="00626229"/>
    <w:rsid w:val="00627507"/>
    <w:rsid w:val="00630C0E"/>
    <w:rsid w:val="00633717"/>
    <w:rsid w:val="006344E1"/>
    <w:rsid w:val="006417B9"/>
    <w:rsid w:val="006439BC"/>
    <w:rsid w:val="006527C7"/>
    <w:rsid w:val="006545C4"/>
    <w:rsid w:val="00661971"/>
    <w:rsid w:val="00661CE8"/>
    <w:rsid w:val="006623D9"/>
    <w:rsid w:val="0066550C"/>
    <w:rsid w:val="006716F2"/>
    <w:rsid w:val="00676C99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7BB0"/>
    <w:rsid w:val="006D3237"/>
    <w:rsid w:val="006E2E37"/>
    <w:rsid w:val="006E3CF1"/>
    <w:rsid w:val="006E7E80"/>
    <w:rsid w:val="006F1DF9"/>
    <w:rsid w:val="006F24DB"/>
    <w:rsid w:val="006F48CA"/>
    <w:rsid w:val="006F64DD"/>
    <w:rsid w:val="00704C9E"/>
    <w:rsid w:val="00715127"/>
    <w:rsid w:val="00715E8E"/>
    <w:rsid w:val="00716D32"/>
    <w:rsid w:val="00723580"/>
    <w:rsid w:val="00723755"/>
    <w:rsid w:val="00725F34"/>
    <w:rsid w:val="0073136C"/>
    <w:rsid w:val="00731F0F"/>
    <w:rsid w:val="007324AD"/>
    <w:rsid w:val="00733250"/>
    <w:rsid w:val="00741404"/>
    <w:rsid w:val="007424AF"/>
    <w:rsid w:val="00742D3B"/>
    <w:rsid w:val="007449E5"/>
    <w:rsid w:val="00746C5A"/>
    <w:rsid w:val="00747FF0"/>
    <w:rsid w:val="00764D4E"/>
    <w:rsid w:val="00765A1F"/>
    <w:rsid w:val="00773189"/>
    <w:rsid w:val="00775B6D"/>
    <w:rsid w:val="00776D68"/>
    <w:rsid w:val="007850EE"/>
    <w:rsid w:val="00785B95"/>
    <w:rsid w:val="00787E12"/>
    <w:rsid w:val="00790034"/>
    <w:rsid w:val="00790E96"/>
    <w:rsid w:val="00792343"/>
    <w:rsid w:val="00793366"/>
    <w:rsid w:val="007A4EC1"/>
    <w:rsid w:val="007A716F"/>
    <w:rsid w:val="007B270A"/>
    <w:rsid w:val="007B5099"/>
    <w:rsid w:val="007B7C20"/>
    <w:rsid w:val="007C00B1"/>
    <w:rsid w:val="007C0695"/>
    <w:rsid w:val="007C419A"/>
    <w:rsid w:val="007C4CC8"/>
    <w:rsid w:val="007C5426"/>
    <w:rsid w:val="007C5798"/>
    <w:rsid w:val="007D1B7D"/>
    <w:rsid w:val="007D4832"/>
    <w:rsid w:val="007E21B2"/>
    <w:rsid w:val="007E2C4E"/>
    <w:rsid w:val="007E3127"/>
    <w:rsid w:val="007F1905"/>
    <w:rsid w:val="00801300"/>
    <w:rsid w:val="00802C64"/>
    <w:rsid w:val="00804AF3"/>
    <w:rsid w:val="00804D0A"/>
    <w:rsid w:val="00805583"/>
    <w:rsid w:val="00805E52"/>
    <w:rsid w:val="008061D0"/>
    <w:rsid w:val="00810B38"/>
    <w:rsid w:val="008110E4"/>
    <w:rsid w:val="008204C7"/>
    <w:rsid w:val="00820992"/>
    <w:rsid w:val="00823602"/>
    <w:rsid w:val="008255F5"/>
    <w:rsid w:val="0083014E"/>
    <w:rsid w:val="0083214A"/>
    <w:rsid w:val="00834220"/>
    <w:rsid w:val="00837E0A"/>
    <w:rsid w:val="00845723"/>
    <w:rsid w:val="00851EF9"/>
    <w:rsid w:val="008577FD"/>
    <w:rsid w:val="00860B03"/>
    <w:rsid w:val="0086497A"/>
    <w:rsid w:val="008713A1"/>
    <w:rsid w:val="008754AB"/>
    <w:rsid w:val="0088060C"/>
    <w:rsid w:val="00893576"/>
    <w:rsid w:val="00893E73"/>
    <w:rsid w:val="008A20EE"/>
    <w:rsid w:val="008A43C4"/>
    <w:rsid w:val="008B02DC"/>
    <w:rsid w:val="008B57CE"/>
    <w:rsid w:val="008B659F"/>
    <w:rsid w:val="008C1C1A"/>
    <w:rsid w:val="008C26DE"/>
    <w:rsid w:val="008C32DC"/>
    <w:rsid w:val="008D2225"/>
    <w:rsid w:val="008D3989"/>
    <w:rsid w:val="008D4752"/>
    <w:rsid w:val="008D552A"/>
    <w:rsid w:val="008E271C"/>
    <w:rsid w:val="008E418E"/>
    <w:rsid w:val="008E5BC6"/>
    <w:rsid w:val="008E6A25"/>
    <w:rsid w:val="008E7C2D"/>
    <w:rsid w:val="008F0B66"/>
    <w:rsid w:val="008F5193"/>
    <w:rsid w:val="009013A7"/>
    <w:rsid w:val="009017FB"/>
    <w:rsid w:val="009017FC"/>
    <w:rsid w:val="00903B43"/>
    <w:rsid w:val="0090506B"/>
    <w:rsid w:val="009050C9"/>
    <w:rsid w:val="009066FC"/>
    <w:rsid w:val="009140A3"/>
    <w:rsid w:val="009144A2"/>
    <w:rsid w:val="0091510C"/>
    <w:rsid w:val="009259AC"/>
    <w:rsid w:val="00926F38"/>
    <w:rsid w:val="00934301"/>
    <w:rsid w:val="009352DF"/>
    <w:rsid w:val="00936CD1"/>
    <w:rsid w:val="00941747"/>
    <w:rsid w:val="00941EFB"/>
    <w:rsid w:val="00947AFB"/>
    <w:rsid w:val="00951D7D"/>
    <w:rsid w:val="00952C12"/>
    <w:rsid w:val="0095726B"/>
    <w:rsid w:val="009630C7"/>
    <w:rsid w:val="00972B55"/>
    <w:rsid w:val="00974280"/>
    <w:rsid w:val="009743B7"/>
    <w:rsid w:val="00980BC4"/>
    <w:rsid w:val="0098228B"/>
    <w:rsid w:val="009828DA"/>
    <w:rsid w:val="00985BAB"/>
    <w:rsid w:val="00997F03"/>
    <w:rsid w:val="009A46DF"/>
    <w:rsid w:val="009B1B5F"/>
    <w:rsid w:val="009B2EC2"/>
    <w:rsid w:val="009B6557"/>
    <w:rsid w:val="009B6673"/>
    <w:rsid w:val="009C191B"/>
    <w:rsid w:val="009C2BD6"/>
    <w:rsid w:val="009C3FF6"/>
    <w:rsid w:val="009D713A"/>
    <w:rsid w:val="009E1F32"/>
    <w:rsid w:val="009E3D65"/>
    <w:rsid w:val="009E50E7"/>
    <w:rsid w:val="009E5829"/>
    <w:rsid w:val="009E776C"/>
    <w:rsid w:val="00A12476"/>
    <w:rsid w:val="00A1726E"/>
    <w:rsid w:val="00A204CF"/>
    <w:rsid w:val="00A23D49"/>
    <w:rsid w:val="00A27004"/>
    <w:rsid w:val="00A30C29"/>
    <w:rsid w:val="00A3110A"/>
    <w:rsid w:val="00A34DD6"/>
    <w:rsid w:val="00A36819"/>
    <w:rsid w:val="00A36989"/>
    <w:rsid w:val="00A43628"/>
    <w:rsid w:val="00A538A3"/>
    <w:rsid w:val="00A54192"/>
    <w:rsid w:val="00A57442"/>
    <w:rsid w:val="00A6035E"/>
    <w:rsid w:val="00A6144C"/>
    <w:rsid w:val="00A66617"/>
    <w:rsid w:val="00A66CCC"/>
    <w:rsid w:val="00A671F8"/>
    <w:rsid w:val="00A673A4"/>
    <w:rsid w:val="00A724AE"/>
    <w:rsid w:val="00A73329"/>
    <w:rsid w:val="00A82359"/>
    <w:rsid w:val="00A865D2"/>
    <w:rsid w:val="00A92938"/>
    <w:rsid w:val="00A93E7D"/>
    <w:rsid w:val="00A94C20"/>
    <w:rsid w:val="00A96ED6"/>
    <w:rsid w:val="00AA227F"/>
    <w:rsid w:val="00AA3BC7"/>
    <w:rsid w:val="00AA754A"/>
    <w:rsid w:val="00AA77BC"/>
    <w:rsid w:val="00AB099E"/>
    <w:rsid w:val="00AB4328"/>
    <w:rsid w:val="00AB5FA0"/>
    <w:rsid w:val="00AB6461"/>
    <w:rsid w:val="00AC3740"/>
    <w:rsid w:val="00AD28A5"/>
    <w:rsid w:val="00AE0A2E"/>
    <w:rsid w:val="00AE354C"/>
    <w:rsid w:val="00AE3749"/>
    <w:rsid w:val="00AF4B07"/>
    <w:rsid w:val="00AF6186"/>
    <w:rsid w:val="00AF7A3A"/>
    <w:rsid w:val="00B06F1A"/>
    <w:rsid w:val="00B160DB"/>
    <w:rsid w:val="00B20330"/>
    <w:rsid w:val="00B20836"/>
    <w:rsid w:val="00B235BB"/>
    <w:rsid w:val="00B27A44"/>
    <w:rsid w:val="00B30BBF"/>
    <w:rsid w:val="00B326CB"/>
    <w:rsid w:val="00B33C03"/>
    <w:rsid w:val="00B44E56"/>
    <w:rsid w:val="00B46543"/>
    <w:rsid w:val="00B47D33"/>
    <w:rsid w:val="00B52BE0"/>
    <w:rsid w:val="00B54133"/>
    <w:rsid w:val="00B637B9"/>
    <w:rsid w:val="00B67292"/>
    <w:rsid w:val="00B701ED"/>
    <w:rsid w:val="00B8086C"/>
    <w:rsid w:val="00B83D1D"/>
    <w:rsid w:val="00B861B4"/>
    <w:rsid w:val="00B86DFE"/>
    <w:rsid w:val="00B90990"/>
    <w:rsid w:val="00B922FF"/>
    <w:rsid w:val="00B9281E"/>
    <w:rsid w:val="00B93925"/>
    <w:rsid w:val="00B95187"/>
    <w:rsid w:val="00BA2D55"/>
    <w:rsid w:val="00BA376E"/>
    <w:rsid w:val="00BA6D22"/>
    <w:rsid w:val="00BA71B1"/>
    <w:rsid w:val="00BA78E9"/>
    <w:rsid w:val="00BB0637"/>
    <w:rsid w:val="00BB345F"/>
    <w:rsid w:val="00BB5883"/>
    <w:rsid w:val="00BB68EA"/>
    <w:rsid w:val="00BB7B1F"/>
    <w:rsid w:val="00BC1C27"/>
    <w:rsid w:val="00BC65A9"/>
    <w:rsid w:val="00BC6BBF"/>
    <w:rsid w:val="00BD1572"/>
    <w:rsid w:val="00BE14E3"/>
    <w:rsid w:val="00BE2519"/>
    <w:rsid w:val="00BE3774"/>
    <w:rsid w:val="00BE41E5"/>
    <w:rsid w:val="00BF0BBB"/>
    <w:rsid w:val="00BF2948"/>
    <w:rsid w:val="00BF4109"/>
    <w:rsid w:val="00BF4CC3"/>
    <w:rsid w:val="00BF6D31"/>
    <w:rsid w:val="00C054C7"/>
    <w:rsid w:val="00C057B5"/>
    <w:rsid w:val="00C21653"/>
    <w:rsid w:val="00C22687"/>
    <w:rsid w:val="00C32E4D"/>
    <w:rsid w:val="00C333A0"/>
    <w:rsid w:val="00C36A81"/>
    <w:rsid w:val="00C36FF4"/>
    <w:rsid w:val="00C40D54"/>
    <w:rsid w:val="00C41974"/>
    <w:rsid w:val="00C42FEA"/>
    <w:rsid w:val="00C447AD"/>
    <w:rsid w:val="00C53F4A"/>
    <w:rsid w:val="00C54125"/>
    <w:rsid w:val="00C55B54"/>
    <w:rsid w:val="00C6098E"/>
    <w:rsid w:val="00C6152C"/>
    <w:rsid w:val="00C620FF"/>
    <w:rsid w:val="00C621C2"/>
    <w:rsid w:val="00C64235"/>
    <w:rsid w:val="00C74810"/>
    <w:rsid w:val="00C90D68"/>
    <w:rsid w:val="00C939FE"/>
    <w:rsid w:val="00C95AC0"/>
    <w:rsid w:val="00CA4BDA"/>
    <w:rsid w:val="00CA733B"/>
    <w:rsid w:val="00CB1F66"/>
    <w:rsid w:val="00CB2951"/>
    <w:rsid w:val="00CB3663"/>
    <w:rsid w:val="00CC4EF4"/>
    <w:rsid w:val="00CD282B"/>
    <w:rsid w:val="00CD4073"/>
    <w:rsid w:val="00CD4C35"/>
    <w:rsid w:val="00CD7369"/>
    <w:rsid w:val="00CE0B0E"/>
    <w:rsid w:val="00CE3831"/>
    <w:rsid w:val="00D00ABB"/>
    <w:rsid w:val="00D02EEC"/>
    <w:rsid w:val="00D03551"/>
    <w:rsid w:val="00D06A63"/>
    <w:rsid w:val="00D07E0E"/>
    <w:rsid w:val="00D11478"/>
    <w:rsid w:val="00D11630"/>
    <w:rsid w:val="00D15ED0"/>
    <w:rsid w:val="00D21B3E"/>
    <w:rsid w:val="00D21FED"/>
    <w:rsid w:val="00D225A7"/>
    <w:rsid w:val="00D24251"/>
    <w:rsid w:val="00D32423"/>
    <w:rsid w:val="00D343E2"/>
    <w:rsid w:val="00D361A2"/>
    <w:rsid w:val="00D40E75"/>
    <w:rsid w:val="00D44C2E"/>
    <w:rsid w:val="00D44F1F"/>
    <w:rsid w:val="00D45414"/>
    <w:rsid w:val="00D53C0F"/>
    <w:rsid w:val="00D559EA"/>
    <w:rsid w:val="00D566BD"/>
    <w:rsid w:val="00D57A4D"/>
    <w:rsid w:val="00D60AA7"/>
    <w:rsid w:val="00D60D87"/>
    <w:rsid w:val="00D618BA"/>
    <w:rsid w:val="00D6435F"/>
    <w:rsid w:val="00D6618D"/>
    <w:rsid w:val="00D71114"/>
    <w:rsid w:val="00D719F9"/>
    <w:rsid w:val="00D75967"/>
    <w:rsid w:val="00D75E28"/>
    <w:rsid w:val="00D772C2"/>
    <w:rsid w:val="00D8008E"/>
    <w:rsid w:val="00D8096A"/>
    <w:rsid w:val="00D82C45"/>
    <w:rsid w:val="00D835EA"/>
    <w:rsid w:val="00D908A8"/>
    <w:rsid w:val="00D977B6"/>
    <w:rsid w:val="00D97D1B"/>
    <w:rsid w:val="00DA433C"/>
    <w:rsid w:val="00DA4A31"/>
    <w:rsid w:val="00DA54FF"/>
    <w:rsid w:val="00DA61F2"/>
    <w:rsid w:val="00DA7B04"/>
    <w:rsid w:val="00DA7BA2"/>
    <w:rsid w:val="00DB2C03"/>
    <w:rsid w:val="00DB36C2"/>
    <w:rsid w:val="00DB6E6B"/>
    <w:rsid w:val="00DB7196"/>
    <w:rsid w:val="00DC169B"/>
    <w:rsid w:val="00DC2AB9"/>
    <w:rsid w:val="00DC63F0"/>
    <w:rsid w:val="00DD6EE5"/>
    <w:rsid w:val="00DE1B8E"/>
    <w:rsid w:val="00DE386C"/>
    <w:rsid w:val="00DE4D35"/>
    <w:rsid w:val="00DF0549"/>
    <w:rsid w:val="00DF098B"/>
    <w:rsid w:val="00DF11C4"/>
    <w:rsid w:val="00DF1702"/>
    <w:rsid w:val="00DF210C"/>
    <w:rsid w:val="00DF4B6A"/>
    <w:rsid w:val="00E02C09"/>
    <w:rsid w:val="00E04D59"/>
    <w:rsid w:val="00E07DA1"/>
    <w:rsid w:val="00E10591"/>
    <w:rsid w:val="00E123CB"/>
    <w:rsid w:val="00E1557C"/>
    <w:rsid w:val="00E20E13"/>
    <w:rsid w:val="00E21DBC"/>
    <w:rsid w:val="00E253A2"/>
    <w:rsid w:val="00E275D7"/>
    <w:rsid w:val="00E27DBE"/>
    <w:rsid w:val="00E32AB1"/>
    <w:rsid w:val="00E36C71"/>
    <w:rsid w:val="00E40404"/>
    <w:rsid w:val="00E40A1B"/>
    <w:rsid w:val="00E44B52"/>
    <w:rsid w:val="00E459C6"/>
    <w:rsid w:val="00E47589"/>
    <w:rsid w:val="00E64915"/>
    <w:rsid w:val="00E651C6"/>
    <w:rsid w:val="00E661D4"/>
    <w:rsid w:val="00E6733C"/>
    <w:rsid w:val="00E70091"/>
    <w:rsid w:val="00E716F0"/>
    <w:rsid w:val="00E720F5"/>
    <w:rsid w:val="00E738A5"/>
    <w:rsid w:val="00E73DC5"/>
    <w:rsid w:val="00E74C6A"/>
    <w:rsid w:val="00E76D47"/>
    <w:rsid w:val="00E849F7"/>
    <w:rsid w:val="00E85E8F"/>
    <w:rsid w:val="00E86EF8"/>
    <w:rsid w:val="00E90302"/>
    <w:rsid w:val="00E9597F"/>
    <w:rsid w:val="00E97396"/>
    <w:rsid w:val="00EA185E"/>
    <w:rsid w:val="00EA592A"/>
    <w:rsid w:val="00EA7E18"/>
    <w:rsid w:val="00EB14E4"/>
    <w:rsid w:val="00EB1DB0"/>
    <w:rsid w:val="00EB32A5"/>
    <w:rsid w:val="00EB34ED"/>
    <w:rsid w:val="00EB7BE0"/>
    <w:rsid w:val="00EC315E"/>
    <w:rsid w:val="00ED077C"/>
    <w:rsid w:val="00ED1190"/>
    <w:rsid w:val="00ED4E2E"/>
    <w:rsid w:val="00ED6544"/>
    <w:rsid w:val="00EE0277"/>
    <w:rsid w:val="00EE1DA9"/>
    <w:rsid w:val="00EE3E00"/>
    <w:rsid w:val="00EE540A"/>
    <w:rsid w:val="00EE5DD2"/>
    <w:rsid w:val="00EF41F1"/>
    <w:rsid w:val="00EF4F08"/>
    <w:rsid w:val="00EF575D"/>
    <w:rsid w:val="00EF59B4"/>
    <w:rsid w:val="00F00A79"/>
    <w:rsid w:val="00F00E86"/>
    <w:rsid w:val="00F00F8B"/>
    <w:rsid w:val="00F07C1E"/>
    <w:rsid w:val="00F105DB"/>
    <w:rsid w:val="00F10B78"/>
    <w:rsid w:val="00F132BC"/>
    <w:rsid w:val="00F13D80"/>
    <w:rsid w:val="00F16AAA"/>
    <w:rsid w:val="00F21161"/>
    <w:rsid w:val="00F217DA"/>
    <w:rsid w:val="00F218EF"/>
    <w:rsid w:val="00F21BC7"/>
    <w:rsid w:val="00F24876"/>
    <w:rsid w:val="00F266A2"/>
    <w:rsid w:val="00F267AD"/>
    <w:rsid w:val="00F32269"/>
    <w:rsid w:val="00F4457E"/>
    <w:rsid w:val="00F56A6F"/>
    <w:rsid w:val="00F5709C"/>
    <w:rsid w:val="00F64EF1"/>
    <w:rsid w:val="00F74C43"/>
    <w:rsid w:val="00F8765F"/>
    <w:rsid w:val="00F90767"/>
    <w:rsid w:val="00F97007"/>
    <w:rsid w:val="00FA685B"/>
    <w:rsid w:val="00FB0C01"/>
    <w:rsid w:val="00FC18F2"/>
    <w:rsid w:val="00FC39E5"/>
    <w:rsid w:val="00FC3A78"/>
    <w:rsid w:val="00FC5FFE"/>
    <w:rsid w:val="00FC66FF"/>
    <w:rsid w:val="00FD1005"/>
    <w:rsid w:val="00FD296C"/>
    <w:rsid w:val="00FD3180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C21653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C21653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C21653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C21653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C21653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C21653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C2165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C21653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C21653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C2165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C216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C21653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C21653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C21653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C21653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C21653"/>
    <w:rPr>
      <w:b/>
      <w:bCs/>
    </w:rPr>
  </w:style>
  <w:style w:type="paragraph" w:styleId="ac">
    <w:name w:val="No Spacing"/>
    <w:basedOn w:val="a2"/>
    <w:link w:val="ad"/>
    <w:semiHidden/>
    <w:qFormat/>
    <w:rsid w:val="00C21653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C21653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C21653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C21653"/>
  </w:style>
  <w:style w:type="paragraph" w:customStyle="1" w:styleId="DecList">
    <w:name w:val="Dec_List"/>
    <w:basedOn w:val="a2"/>
    <w:uiPriority w:val="9"/>
    <w:semiHidden/>
    <w:qFormat/>
    <w:rsid w:val="00C21653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C21653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C21653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C21653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C21653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C21653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C21653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C21653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C21653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C21653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C21653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C21653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C21653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C21653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C21653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C21653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C21653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C21653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C21653"/>
    <w:pPr>
      <w:ind w:left="284"/>
    </w:pPr>
  </w:style>
  <w:style w:type="paragraph" w:styleId="a9">
    <w:name w:val="header"/>
    <w:basedOn w:val="a2"/>
    <w:link w:val="af0"/>
    <w:uiPriority w:val="99"/>
    <w:semiHidden/>
    <w:rsid w:val="00C21653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C21653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C21653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C21653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C21653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C21653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C21653"/>
    <w:pPr>
      <w:ind w:left="567"/>
    </w:pPr>
  </w:style>
  <w:style w:type="paragraph" w:customStyle="1" w:styleId="JuCase">
    <w:name w:val="Ju_Case"/>
    <w:basedOn w:val="a2"/>
    <w:next w:val="ECHRPara"/>
    <w:uiPriority w:val="10"/>
    <w:rsid w:val="00C21653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C21653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C21653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C21653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C21653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C21653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C2165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C21653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C21653"/>
    <w:rPr>
      <w:sz w:val="24"/>
    </w:rPr>
  </w:style>
  <w:style w:type="character" w:styleId="af4">
    <w:name w:val="footnote reference"/>
    <w:basedOn w:val="a3"/>
    <w:uiPriority w:val="99"/>
    <w:semiHidden/>
    <w:rsid w:val="00C21653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C21653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C21653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C21653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C21653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C21653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C21653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C21653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C21653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C21653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C21653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C21653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C21653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C21653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C21653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C21653"/>
    <w:rPr>
      <w:smallCaps/>
    </w:rPr>
  </w:style>
  <w:style w:type="table" w:styleId="afe">
    <w:name w:val="Table Grid"/>
    <w:basedOn w:val="a4"/>
    <w:uiPriority w:val="59"/>
    <w:semiHidden/>
    <w:rsid w:val="00C21653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C21653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C21653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C21653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C21653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C21653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C21653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C21653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C21653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C21653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C21653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C21653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C21653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C21653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C21653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C21653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C21653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C21653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C21653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C21653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C21653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C21653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C21653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C21653"/>
  </w:style>
  <w:style w:type="paragraph" w:customStyle="1" w:styleId="OpiParaSub">
    <w:name w:val="Opi_Para_Sub"/>
    <w:basedOn w:val="JuParaSub"/>
    <w:uiPriority w:val="47"/>
    <w:qFormat/>
    <w:rsid w:val="00C21653"/>
  </w:style>
  <w:style w:type="paragraph" w:customStyle="1" w:styleId="OpiQuot">
    <w:name w:val="Opi_Quot"/>
    <w:basedOn w:val="ECHRParaQuote"/>
    <w:uiPriority w:val="48"/>
    <w:qFormat/>
    <w:rsid w:val="00C21653"/>
  </w:style>
  <w:style w:type="paragraph" w:customStyle="1" w:styleId="OpiQuotSub">
    <w:name w:val="Opi_Quot_Sub"/>
    <w:basedOn w:val="JuQuotSub"/>
    <w:uiPriority w:val="49"/>
    <w:qFormat/>
    <w:rsid w:val="00C21653"/>
  </w:style>
  <w:style w:type="paragraph" w:customStyle="1" w:styleId="OpiTranslation">
    <w:name w:val="Opi_Translation"/>
    <w:basedOn w:val="a2"/>
    <w:next w:val="OpiPara"/>
    <w:uiPriority w:val="40"/>
    <w:qFormat/>
    <w:rsid w:val="00C21653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A57442"/>
    <w:rPr>
      <w:rFonts w:eastAsiaTheme="minorEastAsia"/>
      <w:sz w:val="24"/>
    </w:rPr>
  </w:style>
  <w:style w:type="paragraph" w:styleId="affffff">
    <w:name w:val="Revision"/>
    <w:hidden/>
    <w:uiPriority w:val="99"/>
    <w:semiHidden/>
    <w:rsid w:val="003274E9"/>
    <w:rPr>
      <w:rFonts w:eastAsia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C21653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C21653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C21653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C21653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C21653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C21653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C2165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C21653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C21653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C2165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C216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C21653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C21653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C21653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C21653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C21653"/>
    <w:rPr>
      <w:b/>
      <w:bCs/>
    </w:rPr>
  </w:style>
  <w:style w:type="paragraph" w:styleId="ac">
    <w:name w:val="No Spacing"/>
    <w:basedOn w:val="a2"/>
    <w:link w:val="ad"/>
    <w:semiHidden/>
    <w:qFormat/>
    <w:rsid w:val="00C21653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C21653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C21653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C21653"/>
  </w:style>
  <w:style w:type="paragraph" w:customStyle="1" w:styleId="DecList">
    <w:name w:val="Dec_List"/>
    <w:basedOn w:val="a2"/>
    <w:uiPriority w:val="9"/>
    <w:semiHidden/>
    <w:qFormat/>
    <w:rsid w:val="00C21653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C21653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C21653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C21653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C21653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C21653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C21653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C21653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C21653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C21653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C21653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C21653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C21653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C21653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C21653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C21653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C21653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C21653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C21653"/>
    <w:pPr>
      <w:ind w:left="284"/>
    </w:pPr>
  </w:style>
  <w:style w:type="paragraph" w:styleId="a9">
    <w:name w:val="header"/>
    <w:basedOn w:val="a2"/>
    <w:link w:val="af0"/>
    <w:uiPriority w:val="99"/>
    <w:semiHidden/>
    <w:rsid w:val="00C21653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C21653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C21653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C21653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C21653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C21653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C21653"/>
    <w:pPr>
      <w:ind w:left="567"/>
    </w:pPr>
  </w:style>
  <w:style w:type="paragraph" w:customStyle="1" w:styleId="JuCase">
    <w:name w:val="Ju_Case"/>
    <w:basedOn w:val="a2"/>
    <w:next w:val="ECHRPara"/>
    <w:uiPriority w:val="10"/>
    <w:rsid w:val="00C21653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C21653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C21653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C21653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C21653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C21653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C2165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C21653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C21653"/>
    <w:rPr>
      <w:sz w:val="24"/>
    </w:rPr>
  </w:style>
  <w:style w:type="character" w:styleId="af4">
    <w:name w:val="footnote reference"/>
    <w:basedOn w:val="a3"/>
    <w:uiPriority w:val="99"/>
    <w:semiHidden/>
    <w:rsid w:val="00C21653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C21653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C21653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C21653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C21653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C21653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C21653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C21653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C21653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C21653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C21653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C21653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C21653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C21653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C21653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C21653"/>
    <w:rPr>
      <w:smallCaps/>
    </w:rPr>
  </w:style>
  <w:style w:type="table" w:styleId="afe">
    <w:name w:val="Table Grid"/>
    <w:basedOn w:val="a4"/>
    <w:uiPriority w:val="59"/>
    <w:semiHidden/>
    <w:rsid w:val="00C21653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C21653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C21653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C21653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C21653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C21653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C21653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C21653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C21653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C21653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C21653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C21653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C21653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C21653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C21653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C21653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C21653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C21653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C21653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C21653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C21653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C21653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C21653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C21653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C21653"/>
  </w:style>
  <w:style w:type="paragraph" w:customStyle="1" w:styleId="OpiParaSub">
    <w:name w:val="Opi_Para_Sub"/>
    <w:basedOn w:val="JuParaSub"/>
    <w:uiPriority w:val="47"/>
    <w:qFormat/>
    <w:rsid w:val="00C21653"/>
  </w:style>
  <w:style w:type="paragraph" w:customStyle="1" w:styleId="OpiQuot">
    <w:name w:val="Opi_Quot"/>
    <w:basedOn w:val="ECHRParaQuote"/>
    <w:uiPriority w:val="48"/>
    <w:qFormat/>
    <w:rsid w:val="00C21653"/>
  </w:style>
  <w:style w:type="paragraph" w:customStyle="1" w:styleId="OpiQuotSub">
    <w:name w:val="Opi_Quot_Sub"/>
    <w:basedOn w:val="JuQuotSub"/>
    <w:uiPriority w:val="49"/>
    <w:qFormat/>
    <w:rsid w:val="00C21653"/>
  </w:style>
  <w:style w:type="paragraph" w:customStyle="1" w:styleId="OpiTranslation">
    <w:name w:val="Opi_Translation"/>
    <w:basedOn w:val="a2"/>
    <w:next w:val="OpiPara"/>
    <w:uiPriority w:val="40"/>
    <w:qFormat/>
    <w:rsid w:val="00C21653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A57442"/>
    <w:rPr>
      <w:rFonts w:eastAsiaTheme="minorEastAsia"/>
      <w:sz w:val="24"/>
    </w:rPr>
  </w:style>
  <w:style w:type="paragraph" w:styleId="affffff">
    <w:name w:val="Revision"/>
    <w:hidden/>
    <w:uiPriority w:val="99"/>
    <w:semiHidden/>
    <w:rsid w:val="003274E9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5765F-956B-43E9-906E-DDE5EFA468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1F296B-C08A-444B-8FCC-4C6A8EC9A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2E57CE-2FE9-4CC1-BA42-2830368E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A5239D-B40C-4868-B183-2755854E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2800</Words>
  <Characters>15965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2019-06-04T10:38:00Z</dcterms:created>
  <dcterms:modified xsi:type="dcterms:W3CDTF">2019-06-04T10:38:00Z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