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92" w:rsidRPr="00B86B7E" w:rsidRDefault="00234D92">
      <w:pPr>
        <w:pStyle w:val="a3"/>
        <w:spacing w:before="11"/>
        <w:rPr>
          <w:sz w:val="8"/>
        </w:rPr>
      </w:pPr>
      <w:bookmarkStart w:id="0" w:name="_GoBack"/>
      <w:bookmarkEnd w:id="0"/>
    </w:p>
    <w:p w:rsidR="00234D92" w:rsidRPr="00B86B7E" w:rsidRDefault="0029385A">
      <w:pPr>
        <w:pStyle w:val="a3"/>
        <w:ind w:left="1933"/>
        <w:rPr>
          <w:sz w:val="20"/>
        </w:rPr>
      </w:pPr>
      <w:r w:rsidRPr="00B86B7E">
        <w:rPr>
          <w:noProof/>
          <w:sz w:val="20"/>
          <w:lang w:eastAsia="ru-RU"/>
        </w:rPr>
        <w:drawing>
          <wp:inline distT="0" distB="0" distL="0" distR="0">
            <wp:extent cx="2983566" cy="122796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566" cy="122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D92" w:rsidRPr="00B86B7E" w:rsidRDefault="00234D92">
      <w:pPr>
        <w:pStyle w:val="a3"/>
        <w:rPr>
          <w:sz w:val="20"/>
        </w:rPr>
      </w:pPr>
    </w:p>
    <w:p w:rsidR="00775FFA" w:rsidRDefault="00775FFA" w:rsidP="00775FFA">
      <w:pPr>
        <w:jc w:val="right"/>
      </w:pPr>
      <w:r>
        <w:t>НЕОФИЦИАЛЬНЫЙ ПЕРЕВОД</w:t>
      </w:r>
    </w:p>
    <w:p w:rsidR="00775FFA" w:rsidRDefault="00775FFA" w:rsidP="00775FFA">
      <w:pPr>
        <w:jc w:val="right"/>
      </w:pPr>
      <w:r>
        <w:t>АУТЕНТИЧНЫЙ ТЕКСТ РАЗМЕЩЕН НА САЙТЕ</w:t>
      </w:r>
    </w:p>
    <w:p w:rsidR="00775FFA" w:rsidRDefault="00775FFA" w:rsidP="00775FFA">
      <w:pPr>
        <w:jc w:val="right"/>
      </w:pPr>
      <w:r>
        <w:t>ЕВРОПЕЙСКОГО СУДА ПО ПРАВАМ ЧЕЛОВЕКА</w:t>
      </w:r>
    </w:p>
    <w:p w:rsidR="00775FFA" w:rsidRDefault="00C170C4" w:rsidP="00775FFA">
      <w:pPr>
        <w:jc w:val="right"/>
      </w:pPr>
      <w:hyperlink r:id="rId8" w:history="1">
        <w:r w:rsidR="00775FFA">
          <w:rPr>
            <w:rStyle w:val="ab"/>
          </w:rPr>
          <w:t>www.echr.coe.int</w:t>
        </w:r>
      </w:hyperlink>
    </w:p>
    <w:p w:rsidR="00775FFA" w:rsidRDefault="00775FFA" w:rsidP="00775FFA">
      <w:pPr>
        <w:jc w:val="right"/>
      </w:pPr>
      <w:r>
        <w:t>В РАЗДЕЛЕ HUDOC</w:t>
      </w:r>
    </w:p>
    <w:p w:rsidR="00234D92" w:rsidRPr="00B86B7E" w:rsidRDefault="00234D92">
      <w:pPr>
        <w:pStyle w:val="a3"/>
        <w:rPr>
          <w:sz w:val="20"/>
        </w:rPr>
      </w:pPr>
    </w:p>
    <w:p w:rsidR="00234D92" w:rsidRPr="00B86B7E" w:rsidRDefault="00234D92">
      <w:pPr>
        <w:pStyle w:val="a3"/>
        <w:spacing w:before="11"/>
        <w:rPr>
          <w:sz w:val="22"/>
        </w:rPr>
      </w:pPr>
    </w:p>
    <w:p w:rsidR="00234D92" w:rsidRPr="00B86B7E" w:rsidRDefault="0029385A">
      <w:pPr>
        <w:pStyle w:val="a3"/>
        <w:spacing w:before="90"/>
        <w:ind w:left="3096"/>
      </w:pPr>
      <w:r w:rsidRPr="00B86B7E">
        <w:t>ТРЕТЬЯ СЕКЦИЯ</w:t>
      </w:r>
    </w:p>
    <w:p w:rsidR="00234D92" w:rsidRPr="00B86B7E" w:rsidRDefault="00234D92">
      <w:pPr>
        <w:pStyle w:val="a3"/>
        <w:rPr>
          <w:sz w:val="26"/>
        </w:rPr>
      </w:pPr>
    </w:p>
    <w:p w:rsidR="00234D92" w:rsidRPr="00B86B7E" w:rsidRDefault="00234D92">
      <w:pPr>
        <w:pStyle w:val="a3"/>
        <w:rPr>
          <w:sz w:val="26"/>
        </w:rPr>
      </w:pPr>
    </w:p>
    <w:p w:rsidR="00234D92" w:rsidRPr="00B86B7E" w:rsidRDefault="00234D92">
      <w:pPr>
        <w:pStyle w:val="a3"/>
        <w:rPr>
          <w:sz w:val="26"/>
        </w:rPr>
      </w:pPr>
    </w:p>
    <w:p w:rsidR="00234D92" w:rsidRPr="00B86B7E" w:rsidRDefault="00234D92">
      <w:pPr>
        <w:pStyle w:val="a3"/>
        <w:spacing w:before="1"/>
        <w:rPr>
          <w:sz w:val="33"/>
        </w:rPr>
      </w:pPr>
    </w:p>
    <w:p w:rsidR="00234D92" w:rsidRPr="00B86B7E" w:rsidRDefault="0029385A" w:rsidP="00DA19BB">
      <w:pPr>
        <w:pStyle w:val="2"/>
        <w:spacing w:before="0"/>
        <w:ind w:left="709" w:right="1037" w:firstLine="0"/>
        <w:jc w:val="center"/>
      </w:pPr>
      <w:r w:rsidRPr="00B86B7E">
        <w:t>ДЕЛО «ЗИНЧЕНКО против</w:t>
      </w:r>
      <w:r w:rsidR="00DA19BB">
        <w:t xml:space="preserve"> </w:t>
      </w:r>
      <w:r w:rsidRPr="00B86B7E">
        <w:t xml:space="preserve">РОССИИ» </w:t>
      </w:r>
    </w:p>
    <w:p w:rsidR="00234D92" w:rsidRPr="001026A9" w:rsidRDefault="00234D92">
      <w:pPr>
        <w:pStyle w:val="a3"/>
        <w:spacing w:before="3"/>
        <w:rPr>
          <w:b/>
        </w:rPr>
      </w:pPr>
    </w:p>
    <w:p w:rsidR="00234D92" w:rsidRPr="00DA19BB" w:rsidRDefault="0029385A">
      <w:pPr>
        <w:ind w:left="2368" w:right="2368"/>
        <w:jc w:val="center"/>
        <w:rPr>
          <w:i/>
          <w:sz w:val="24"/>
          <w:szCs w:val="24"/>
        </w:rPr>
      </w:pPr>
      <w:r w:rsidRPr="00DA19BB">
        <w:rPr>
          <w:i/>
          <w:sz w:val="24"/>
          <w:szCs w:val="24"/>
        </w:rPr>
        <w:t>(жалоба №</w:t>
      </w:r>
      <w:r w:rsidRPr="001026A9">
        <w:rPr>
          <w:i/>
          <w:sz w:val="24"/>
          <w:szCs w:val="24"/>
        </w:rPr>
        <w:t> 65697/13)</w:t>
      </w:r>
    </w:p>
    <w:p w:rsidR="00234D92" w:rsidRPr="00B86B7E" w:rsidRDefault="00234D92">
      <w:pPr>
        <w:pStyle w:val="a3"/>
        <w:rPr>
          <w:i/>
          <w:sz w:val="26"/>
        </w:rPr>
      </w:pPr>
    </w:p>
    <w:p w:rsidR="00234D92" w:rsidRPr="00B86B7E" w:rsidRDefault="00234D92">
      <w:pPr>
        <w:pStyle w:val="a3"/>
        <w:rPr>
          <w:i/>
          <w:sz w:val="26"/>
        </w:rPr>
      </w:pPr>
    </w:p>
    <w:p w:rsidR="00234D92" w:rsidRPr="00B86B7E" w:rsidRDefault="00234D92">
      <w:pPr>
        <w:pStyle w:val="a3"/>
        <w:rPr>
          <w:i/>
          <w:sz w:val="26"/>
        </w:rPr>
      </w:pPr>
    </w:p>
    <w:p w:rsidR="00234D92" w:rsidRDefault="00234D92">
      <w:pPr>
        <w:pStyle w:val="a3"/>
        <w:spacing w:before="4"/>
        <w:rPr>
          <w:i/>
          <w:sz w:val="35"/>
        </w:rPr>
      </w:pPr>
    </w:p>
    <w:p w:rsidR="00A126C0" w:rsidRDefault="00A126C0">
      <w:pPr>
        <w:pStyle w:val="a3"/>
        <w:spacing w:before="4"/>
        <w:rPr>
          <w:i/>
          <w:sz w:val="35"/>
        </w:rPr>
      </w:pPr>
    </w:p>
    <w:p w:rsidR="00A126C0" w:rsidRDefault="00A126C0">
      <w:pPr>
        <w:pStyle w:val="a3"/>
        <w:spacing w:before="4"/>
        <w:rPr>
          <w:i/>
          <w:sz w:val="35"/>
        </w:rPr>
      </w:pPr>
    </w:p>
    <w:p w:rsidR="00A126C0" w:rsidRPr="00B86B7E" w:rsidRDefault="00A126C0">
      <w:pPr>
        <w:pStyle w:val="a3"/>
        <w:spacing w:before="4"/>
        <w:rPr>
          <w:i/>
          <w:sz w:val="35"/>
        </w:rPr>
      </w:pPr>
    </w:p>
    <w:p w:rsidR="00234D92" w:rsidRPr="00B86B7E" w:rsidRDefault="0029385A">
      <w:pPr>
        <w:pStyle w:val="a3"/>
        <w:ind w:left="2368" w:right="2368"/>
        <w:jc w:val="center"/>
      </w:pPr>
      <w:r w:rsidRPr="00B86B7E">
        <w:t>ПОСТАНОВЛЕНИЕ</w:t>
      </w:r>
    </w:p>
    <w:p w:rsidR="00234D92" w:rsidRPr="00B86B7E" w:rsidRDefault="00234D92">
      <w:pPr>
        <w:pStyle w:val="a3"/>
        <w:rPr>
          <w:sz w:val="26"/>
        </w:rPr>
      </w:pPr>
    </w:p>
    <w:p w:rsidR="00234D92" w:rsidRPr="00B86B7E" w:rsidRDefault="00234D92">
      <w:pPr>
        <w:pStyle w:val="a3"/>
        <w:spacing w:before="3"/>
        <w:rPr>
          <w:sz w:val="22"/>
        </w:rPr>
      </w:pPr>
    </w:p>
    <w:p w:rsidR="00234D92" w:rsidRPr="00B86B7E" w:rsidRDefault="0029385A">
      <w:pPr>
        <w:pStyle w:val="a3"/>
        <w:ind w:left="2368" w:right="2368"/>
        <w:jc w:val="center"/>
      </w:pPr>
      <w:r w:rsidRPr="00B86B7E">
        <w:t>г. СТРАСБУРГ</w:t>
      </w:r>
    </w:p>
    <w:p w:rsidR="00234D92" w:rsidRPr="00B86B7E" w:rsidRDefault="00234D92">
      <w:pPr>
        <w:pStyle w:val="a3"/>
        <w:spacing w:before="3"/>
      </w:pPr>
    </w:p>
    <w:p w:rsidR="00234D92" w:rsidRPr="00B86B7E" w:rsidRDefault="0029385A">
      <w:pPr>
        <w:pStyle w:val="a3"/>
        <w:ind w:left="2368" w:right="2368"/>
        <w:jc w:val="center"/>
      </w:pPr>
      <w:r w:rsidRPr="00B86B7E">
        <w:t>16 июня 2020 года</w:t>
      </w:r>
    </w:p>
    <w:p w:rsidR="00234D92" w:rsidRPr="00B86B7E" w:rsidRDefault="00234D92">
      <w:pPr>
        <w:pStyle w:val="a3"/>
        <w:rPr>
          <w:sz w:val="26"/>
        </w:rPr>
      </w:pPr>
    </w:p>
    <w:p w:rsidR="00A126C0" w:rsidRPr="00B86B7E" w:rsidRDefault="00A126C0">
      <w:pPr>
        <w:pStyle w:val="a3"/>
        <w:rPr>
          <w:sz w:val="26"/>
        </w:rPr>
      </w:pPr>
    </w:p>
    <w:p w:rsidR="00234D92" w:rsidRPr="00B86B7E" w:rsidRDefault="00234D92">
      <w:pPr>
        <w:pStyle w:val="a3"/>
        <w:rPr>
          <w:sz w:val="26"/>
        </w:rPr>
      </w:pPr>
    </w:p>
    <w:p w:rsidR="00234D92" w:rsidRPr="00B86B7E" w:rsidRDefault="00234D92">
      <w:pPr>
        <w:pStyle w:val="a3"/>
        <w:spacing w:before="7"/>
        <w:rPr>
          <w:sz w:val="38"/>
        </w:rPr>
      </w:pPr>
    </w:p>
    <w:p w:rsidR="00234D92" w:rsidRPr="00B86B7E" w:rsidRDefault="0029385A">
      <w:pPr>
        <w:spacing w:before="1"/>
        <w:ind w:left="593"/>
        <w:rPr>
          <w:i/>
        </w:rPr>
      </w:pPr>
      <w:r w:rsidRPr="00B86B7E">
        <w:rPr>
          <w:i/>
        </w:rPr>
        <w:t>Настоящее постановление вступило в силу. Может быть подвергнуто редакционной правке.</w:t>
      </w:r>
    </w:p>
    <w:p w:rsidR="00234D92" w:rsidRPr="00B86B7E" w:rsidRDefault="00234D92">
      <w:pPr>
        <w:pStyle w:val="a3"/>
        <w:rPr>
          <w:i/>
          <w:sz w:val="20"/>
        </w:rPr>
      </w:pPr>
    </w:p>
    <w:p w:rsidR="00234D92" w:rsidRPr="00B86B7E" w:rsidRDefault="0029385A" w:rsidP="00DA19BB">
      <w:pPr>
        <w:pStyle w:val="a3"/>
        <w:rPr>
          <w:sz w:val="29"/>
        </w:rPr>
        <w:sectPr w:rsidR="00234D92" w:rsidRPr="00B86B7E" w:rsidSect="00A126C0">
          <w:footerReference w:type="even" r:id="rId9"/>
          <w:footerReference w:type="default" r:id="rId10"/>
          <w:footerReference w:type="first" r:id="rId11"/>
          <w:type w:val="continuous"/>
          <w:pgSz w:w="11910" w:h="16840"/>
          <w:pgMar w:top="1580" w:right="1680" w:bottom="280" w:left="1680" w:header="720" w:footer="720" w:gutter="0"/>
          <w:cols w:space="720"/>
          <w:titlePg/>
          <w:docGrid w:linePitch="299"/>
        </w:sectPr>
      </w:pPr>
      <w:r w:rsidRPr="00B86B7E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3389629</wp:posOffset>
            </wp:positionH>
            <wp:positionV relativeFrom="paragraph">
              <wp:posOffset>236638</wp:posOffset>
            </wp:positionV>
            <wp:extent cx="755382" cy="60617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382" cy="606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4D92" w:rsidRPr="00B86B7E" w:rsidRDefault="0029385A">
      <w:pPr>
        <w:pStyle w:val="2"/>
        <w:spacing w:before="90"/>
        <w:ind w:left="877" w:firstLine="0"/>
      </w:pPr>
      <w:r w:rsidRPr="00B86B7E">
        <w:lastRenderedPageBreak/>
        <w:t>По делу «Зинченко против России»,</w:t>
      </w:r>
    </w:p>
    <w:p w:rsidR="00234D92" w:rsidRPr="00B86B7E" w:rsidRDefault="0029385A">
      <w:pPr>
        <w:pStyle w:val="a3"/>
        <w:ind w:left="593" w:right="592" w:firstLine="284"/>
        <w:jc w:val="both"/>
      </w:pPr>
      <w:r w:rsidRPr="00B86B7E">
        <w:t>Европейский Суд по правам человека (Третья секция), заседая Комитетом, в состав которого вошли:</w:t>
      </w:r>
    </w:p>
    <w:p w:rsidR="00234D92" w:rsidRPr="00B86B7E" w:rsidRDefault="0029385A">
      <w:pPr>
        <w:ind w:left="1160"/>
        <w:rPr>
          <w:i/>
          <w:sz w:val="24"/>
        </w:rPr>
      </w:pPr>
      <w:r w:rsidRPr="00B86B7E">
        <w:rPr>
          <w:sz w:val="24"/>
        </w:rPr>
        <w:t>Алина Полачкова,</w:t>
      </w:r>
      <w:r w:rsidRPr="00B86B7E">
        <w:rPr>
          <w:i/>
          <w:sz w:val="24"/>
        </w:rPr>
        <w:t xml:space="preserve"> председатель,</w:t>
      </w:r>
    </w:p>
    <w:p w:rsidR="00A126C0" w:rsidRDefault="0029385A" w:rsidP="00040569">
      <w:pPr>
        <w:pStyle w:val="a3"/>
        <w:ind w:left="1160" w:right="2313"/>
      </w:pPr>
      <w:r w:rsidRPr="00B86B7E">
        <w:t xml:space="preserve">Дмитрий Дедов, </w:t>
      </w:r>
    </w:p>
    <w:p w:rsidR="00234D92" w:rsidRPr="00B86B7E" w:rsidRDefault="0029385A" w:rsidP="00040569">
      <w:pPr>
        <w:pStyle w:val="a3"/>
        <w:ind w:left="1160" w:right="2313"/>
        <w:rPr>
          <w:i/>
        </w:rPr>
      </w:pPr>
      <w:r w:rsidRPr="00B86B7E">
        <w:t xml:space="preserve">Джильберто Феличи, </w:t>
      </w:r>
      <w:r w:rsidRPr="00B86B7E">
        <w:rPr>
          <w:i/>
        </w:rPr>
        <w:t>судьи</w:t>
      </w:r>
      <w:r w:rsidRPr="00B86B7E">
        <w:t>,</w:t>
      </w:r>
    </w:p>
    <w:p w:rsidR="00040569" w:rsidRDefault="0029385A" w:rsidP="00040569">
      <w:pPr>
        <w:ind w:left="877" w:right="1462" w:hanging="284"/>
        <w:rPr>
          <w:i/>
          <w:sz w:val="24"/>
        </w:rPr>
      </w:pPr>
      <w:r w:rsidRPr="00B86B7E">
        <w:rPr>
          <w:sz w:val="24"/>
        </w:rPr>
        <w:t>и Ольга Черниш</w:t>
      </w:r>
      <w:r w:rsidR="00A126C0">
        <w:rPr>
          <w:sz w:val="24"/>
        </w:rPr>
        <w:t>е</w:t>
      </w:r>
      <w:r w:rsidRPr="00B86B7E">
        <w:rPr>
          <w:sz w:val="24"/>
        </w:rPr>
        <w:t xml:space="preserve">ва, </w:t>
      </w:r>
      <w:r w:rsidRPr="00B86B7E">
        <w:rPr>
          <w:i/>
          <w:sz w:val="24"/>
        </w:rPr>
        <w:t>заместитель секретаря секции,</w:t>
      </w:r>
    </w:p>
    <w:p w:rsidR="00234D92" w:rsidRPr="00B86B7E" w:rsidRDefault="0029385A" w:rsidP="00DA19BB">
      <w:pPr>
        <w:ind w:left="877" w:right="2798" w:hanging="26"/>
        <w:rPr>
          <w:sz w:val="24"/>
        </w:rPr>
      </w:pPr>
      <w:r w:rsidRPr="00B86B7E">
        <w:rPr>
          <w:sz w:val="24"/>
        </w:rPr>
        <w:t>Принимая во внимание:</w:t>
      </w:r>
    </w:p>
    <w:p w:rsidR="00234D92" w:rsidRPr="00B86B7E" w:rsidRDefault="0029385A">
      <w:pPr>
        <w:pStyle w:val="a3"/>
        <w:ind w:left="593" w:right="592" w:firstLine="284"/>
        <w:jc w:val="both"/>
      </w:pPr>
      <w:r w:rsidRPr="00B86B7E">
        <w:t xml:space="preserve">вышеуказанную жалобу (№ 65697/13) против Российской Федерации, </w:t>
      </w:r>
      <w:r w:rsidR="00DA19BB">
        <w:t>поданную</w:t>
      </w:r>
      <w:r w:rsidRPr="00B86B7E">
        <w:t xml:space="preserve"> в Суд согласно статье 34 Конвенции о защите прав человека и основных свобод (далее — «Конвенция») от гражданина Российской Федерации Ивана Васильевича Зинченко (далее — «заявитель») 23 сентября 2013 года,</w:t>
      </w:r>
    </w:p>
    <w:p w:rsidR="00234D92" w:rsidRPr="00B86B7E" w:rsidRDefault="0029385A">
      <w:pPr>
        <w:pStyle w:val="a3"/>
        <w:ind w:left="877"/>
      </w:pPr>
      <w:r w:rsidRPr="00B86B7E">
        <w:t>замечания сторон,</w:t>
      </w:r>
    </w:p>
    <w:p w:rsidR="00234D92" w:rsidRPr="00B86B7E" w:rsidRDefault="0029385A">
      <w:pPr>
        <w:pStyle w:val="a3"/>
        <w:ind w:left="593" w:right="592" w:firstLine="284"/>
        <w:jc w:val="both"/>
      </w:pPr>
      <w:r w:rsidRPr="00B86B7E">
        <w:t>отметив, что жалоба была коммуницирована Властям 9 мая 2017 года,</w:t>
      </w:r>
    </w:p>
    <w:p w:rsidR="00234D92" w:rsidRPr="00B86B7E" w:rsidRDefault="0029385A" w:rsidP="00040569">
      <w:pPr>
        <w:pStyle w:val="a3"/>
        <w:ind w:left="877" w:right="45"/>
      </w:pPr>
      <w:r w:rsidRPr="00B86B7E">
        <w:t>проведя заседание за закрытыми дверями 9 июня 2020 года, выносит следующее постановление, утвержденное в тот же день:</w:t>
      </w:r>
    </w:p>
    <w:p w:rsidR="00234D92" w:rsidRPr="00B86B7E" w:rsidRDefault="00234D92">
      <w:pPr>
        <w:pStyle w:val="a3"/>
        <w:spacing w:before="4"/>
      </w:pPr>
    </w:p>
    <w:p w:rsidR="00234D92" w:rsidRPr="00B86B7E" w:rsidRDefault="0029385A">
      <w:pPr>
        <w:pStyle w:val="1"/>
      </w:pPr>
      <w:r w:rsidRPr="00B86B7E">
        <w:t>ФАКТЫ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178"/>
        </w:tabs>
        <w:spacing w:before="240"/>
        <w:ind w:right="0" w:firstLine="284"/>
        <w:rPr>
          <w:sz w:val="24"/>
        </w:rPr>
      </w:pPr>
      <w:r w:rsidRPr="00B86B7E">
        <w:rPr>
          <w:sz w:val="24"/>
        </w:rPr>
        <w:t>Заявитель родился в 1951 году и проживает в г. Лиски.</w:t>
      </w:r>
    </w:p>
    <w:p w:rsidR="00234D92" w:rsidRPr="00DA19BB" w:rsidRDefault="0029385A" w:rsidP="0096262A">
      <w:pPr>
        <w:pStyle w:val="a4"/>
        <w:numPr>
          <w:ilvl w:val="0"/>
          <w:numId w:val="5"/>
        </w:numPr>
        <w:tabs>
          <w:tab w:val="left" w:pos="1178"/>
        </w:tabs>
        <w:ind w:left="593" w:firstLine="284"/>
        <w:rPr>
          <w:sz w:val="24"/>
          <w:szCs w:val="24"/>
        </w:rPr>
      </w:pPr>
      <w:r w:rsidRPr="001026A9">
        <w:rPr>
          <w:sz w:val="24"/>
          <w:szCs w:val="24"/>
        </w:rPr>
        <w:t>Интересы Властей Российской Федерации (далее — «Власти») представлял</w:t>
      </w:r>
      <w:r w:rsidR="00040569" w:rsidRPr="00DA19BB">
        <w:rPr>
          <w:sz w:val="24"/>
          <w:szCs w:val="24"/>
        </w:rPr>
        <w:t xml:space="preserve"> </w:t>
      </w:r>
      <w:r w:rsidRPr="00DA19BB">
        <w:rPr>
          <w:sz w:val="24"/>
          <w:szCs w:val="24"/>
        </w:rPr>
        <w:t>М.Л. Гальперин, Уполномоченный Российской Федерации при Европейском Суде по правам человека.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178"/>
        </w:tabs>
        <w:ind w:firstLine="284"/>
        <w:jc w:val="both"/>
        <w:rPr>
          <w:sz w:val="24"/>
        </w:rPr>
      </w:pPr>
      <w:r w:rsidRPr="00B86B7E">
        <w:rPr>
          <w:sz w:val="24"/>
        </w:rPr>
        <w:t>6 декабря 2004 года Р., сын заявителя, погиб в дорожно-транспортном происшествии. Транспортное средство Р. и большегрузный автомобиль, которым управлял П., столкнулись в обстоятельствах, которые не позволили четко определить, кто виноват в столкновении. Полиция зафиксировала аварию и передала материалы в следственные органы.</w:t>
      </w:r>
    </w:p>
    <w:p w:rsidR="00234D92" w:rsidRDefault="0029385A">
      <w:pPr>
        <w:pStyle w:val="a4"/>
        <w:numPr>
          <w:ilvl w:val="0"/>
          <w:numId w:val="5"/>
        </w:numPr>
        <w:tabs>
          <w:tab w:val="left" w:pos="1178"/>
        </w:tabs>
        <w:ind w:firstLine="284"/>
        <w:jc w:val="both"/>
        <w:rPr>
          <w:sz w:val="24"/>
        </w:rPr>
      </w:pPr>
      <w:bookmarkStart w:id="1" w:name="_bookmark0"/>
      <w:bookmarkEnd w:id="1"/>
      <w:r w:rsidRPr="00B86B7E">
        <w:rPr>
          <w:sz w:val="24"/>
        </w:rPr>
        <w:t xml:space="preserve">В период с 2004 по 2011 год следственные органы </w:t>
      </w:r>
      <w:r w:rsidR="00775FFA">
        <w:rPr>
          <w:sz w:val="24"/>
        </w:rPr>
        <w:t>вынесли</w:t>
      </w:r>
      <w:r w:rsidR="00775FFA" w:rsidRPr="00B86B7E">
        <w:rPr>
          <w:sz w:val="24"/>
        </w:rPr>
        <w:t xml:space="preserve"> </w:t>
      </w:r>
      <w:r w:rsidRPr="00B86B7E">
        <w:rPr>
          <w:sz w:val="24"/>
        </w:rPr>
        <w:t xml:space="preserve">двадцать одно </w:t>
      </w:r>
      <w:r w:rsidR="00775FFA">
        <w:rPr>
          <w:sz w:val="24"/>
        </w:rPr>
        <w:t>постановление</w:t>
      </w:r>
      <w:r w:rsidR="00775FFA" w:rsidRPr="00B86B7E">
        <w:rPr>
          <w:sz w:val="24"/>
        </w:rPr>
        <w:t xml:space="preserve"> </w:t>
      </w:r>
      <w:r w:rsidRPr="00B86B7E">
        <w:rPr>
          <w:sz w:val="24"/>
        </w:rPr>
        <w:t xml:space="preserve">об отказе в возбуждении уголовного дела по обстоятельствам происшествия. После отмены этих </w:t>
      </w:r>
      <w:r w:rsidR="00775FFA">
        <w:rPr>
          <w:sz w:val="24"/>
        </w:rPr>
        <w:t xml:space="preserve">постановлений </w:t>
      </w:r>
      <w:r w:rsidRPr="00B86B7E">
        <w:rPr>
          <w:sz w:val="24"/>
        </w:rPr>
        <w:t>вышестоящими органами расследование неоднократно возобновлялось, приостанавливалось и затем снова прекращалось.</w:t>
      </w:r>
    </w:p>
    <w:p w:rsidR="00941106" w:rsidRDefault="00775FFA">
      <w:pPr>
        <w:pStyle w:val="a4"/>
        <w:numPr>
          <w:ilvl w:val="0"/>
          <w:numId w:val="5"/>
        </w:numPr>
        <w:tabs>
          <w:tab w:val="left" w:pos="1178"/>
        </w:tabs>
        <w:ind w:firstLine="284"/>
        <w:jc w:val="both"/>
        <w:rPr>
          <w:sz w:val="24"/>
        </w:rPr>
      </w:pPr>
      <w:r w:rsidRPr="00DA19BB">
        <w:rPr>
          <w:sz w:val="24"/>
        </w:rPr>
        <w:t>13 февраля 2011 года следственные органы снова вынесли постановление об отказе в возбуждении уголовного дела. На основании информации, собранной в ходе проверок и, в частности, допроса водителя большегрузного автомобиля, его пассажира и родственников потерпевшего, а также нескольких отчетов о технической экспертизе, следователь по делу счел, что не было возможности установить точные траектории движения транспортных средств Р. и П. во время аварии и, следовательно, определить, нарушил ли П. правила дорожного движения. Следователь также указал, что в любом случае истек срок давности привлечения к уголовной ответственности, который составлял шесть лет на основании статьи 264 (нарушение правил дорожного движения) Уголовного кодекса</w:t>
      </w:r>
      <w:r w:rsidR="00941106">
        <w:rPr>
          <w:sz w:val="24"/>
        </w:rPr>
        <w:t xml:space="preserve"> РФ</w:t>
      </w:r>
      <w:r w:rsidRPr="00DA19BB">
        <w:rPr>
          <w:sz w:val="24"/>
        </w:rPr>
        <w:t>.</w:t>
      </w:r>
      <w:bookmarkStart w:id="2" w:name="_bookmark1"/>
      <w:bookmarkEnd w:id="2"/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178"/>
        </w:tabs>
        <w:ind w:firstLine="284"/>
        <w:jc w:val="both"/>
        <w:rPr>
          <w:sz w:val="24"/>
        </w:rPr>
      </w:pPr>
      <w:r w:rsidRPr="00B86B7E">
        <w:rPr>
          <w:sz w:val="24"/>
        </w:rPr>
        <w:t xml:space="preserve">13 февраля 2011 года заявитель оспорил </w:t>
      </w:r>
      <w:r w:rsidR="00775FFA">
        <w:rPr>
          <w:sz w:val="24"/>
        </w:rPr>
        <w:t xml:space="preserve">постановление </w:t>
      </w:r>
      <w:r w:rsidRPr="00B86B7E">
        <w:rPr>
          <w:sz w:val="24"/>
        </w:rPr>
        <w:t xml:space="preserve">в судебном порядке. </w:t>
      </w:r>
      <w:r w:rsidR="00775FFA">
        <w:rPr>
          <w:sz w:val="24"/>
        </w:rPr>
        <w:t>Вступившим в силу</w:t>
      </w:r>
      <w:r w:rsidR="00775FFA" w:rsidRPr="00B86B7E">
        <w:rPr>
          <w:sz w:val="24"/>
        </w:rPr>
        <w:t xml:space="preserve"> </w:t>
      </w:r>
      <w:r w:rsidRPr="00B86B7E">
        <w:rPr>
          <w:sz w:val="24"/>
        </w:rPr>
        <w:t xml:space="preserve">решением от 20 сентября </w:t>
      </w:r>
      <w:r w:rsidRPr="00B86B7E">
        <w:rPr>
          <w:sz w:val="24"/>
        </w:rPr>
        <w:lastRenderedPageBreak/>
        <w:t>2011 года Московский областной суд отклонил жалобу заявителя, но</w:t>
      </w:r>
      <w:r w:rsidR="00775FFA">
        <w:rPr>
          <w:sz w:val="24"/>
        </w:rPr>
        <w:t> отметил</w:t>
      </w:r>
      <w:r w:rsidRPr="00B86B7E">
        <w:rPr>
          <w:sz w:val="24"/>
        </w:rPr>
        <w:t>, что продолжительность расследования настоящего несчастного случая</w:t>
      </w:r>
      <w:r w:rsidR="00775FFA" w:rsidRPr="00775FFA">
        <w:rPr>
          <w:sz w:val="24"/>
        </w:rPr>
        <w:t xml:space="preserve"> </w:t>
      </w:r>
      <w:r w:rsidR="00775FFA" w:rsidRPr="00B86B7E">
        <w:rPr>
          <w:sz w:val="24"/>
        </w:rPr>
        <w:t>не была обоснованной</w:t>
      </w:r>
      <w:r w:rsidRPr="00B86B7E">
        <w:rPr>
          <w:sz w:val="24"/>
        </w:rPr>
        <w:t>.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178"/>
        </w:tabs>
        <w:ind w:firstLine="284"/>
        <w:jc w:val="both"/>
        <w:rPr>
          <w:sz w:val="24"/>
        </w:rPr>
      </w:pPr>
      <w:r w:rsidRPr="00B86B7E">
        <w:rPr>
          <w:sz w:val="24"/>
        </w:rPr>
        <w:t xml:space="preserve">В ноябре 2011 года заявитель обратился </w:t>
      </w:r>
      <w:r w:rsidR="0072254A">
        <w:rPr>
          <w:sz w:val="24"/>
        </w:rPr>
        <w:t>с</w:t>
      </w:r>
      <w:r w:rsidRPr="00B86B7E">
        <w:rPr>
          <w:sz w:val="24"/>
        </w:rPr>
        <w:t xml:space="preserve"> иском к Министерству финансов Российской Федерации. В своем </w:t>
      </w:r>
      <w:r w:rsidR="00775FFA">
        <w:rPr>
          <w:sz w:val="24"/>
        </w:rPr>
        <w:t>иске</w:t>
      </w:r>
      <w:r w:rsidR="00775FFA" w:rsidRPr="00B86B7E">
        <w:rPr>
          <w:sz w:val="24"/>
        </w:rPr>
        <w:t xml:space="preserve"> </w:t>
      </w:r>
      <w:r w:rsidRPr="00B86B7E">
        <w:rPr>
          <w:sz w:val="24"/>
        </w:rPr>
        <w:t>он требовал компенсацию морального вреда в размере 3 млн. российских рублей, который он, по его мнению, понес в результате предполагаемой неэффективности и продолжительности расследования обстоятельств смерти его сына.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178"/>
        </w:tabs>
        <w:ind w:firstLine="284"/>
        <w:jc w:val="both"/>
        <w:rPr>
          <w:sz w:val="24"/>
        </w:rPr>
      </w:pPr>
      <w:bookmarkStart w:id="3" w:name="_bookmark2"/>
      <w:bookmarkEnd w:id="3"/>
      <w:r w:rsidRPr="00B86B7E">
        <w:rPr>
          <w:sz w:val="24"/>
        </w:rPr>
        <w:t>Решением от 4 октября 2012 года Тверской районный суд города Москвы частично удовлетворил иск заявителя. Он счел, что следственные органы не соблюли установленные законом сроки, что расследование неоднократно приостанавливалось без уважительной причины и что несколько следователей по этому делу были привлечены к дисциплинарной ответственности за выявленные нарушения. Суд установил, что заявителю был причинен моральный вред и присудил ему 15 000 руб. (приблизительно 372 евро по курсу, действующему на тот момент).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178"/>
        </w:tabs>
        <w:ind w:right="593" w:firstLine="284"/>
        <w:jc w:val="both"/>
        <w:rPr>
          <w:sz w:val="24"/>
        </w:rPr>
      </w:pPr>
      <w:r w:rsidRPr="00B86B7E">
        <w:rPr>
          <w:sz w:val="24"/>
        </w:rPr>
        <w:t>12 апреля 2013 года Московский городской суд оставил решение от 4 октября 2012 года без изменений в апелляционном порядке.</w:t>
      </w:r>
    </w:p>
    <w:p w:rsidR="00234D92" w:rsidRPr="00B86B7E" w:rsidRDefault="00234D92">
      <w:pPr>
        <w:pStyle w:val="a3"/>
        <w:spacing w:before="3"/>
      </w:pPr>
    </w:p>
    <w:p w:rsidR="00234D92" w:rsidRPr="00B86B7E" w:rsidRDefault="0029385A">
      <w:pPr>
        <w:pStyle w:val="1"/>
        <w:spacing w:before="1"/>
        <w:jc w:val="both"/>
      </w:pPr>
      <w:r w:rsidRPr="00B86B7E">
        <w:t>ПРАВО</w:t>
      </w:r>
    </w:p>
    <w:p w:rsidR="00234D92" w:rsidRPr="00B86B7E" w:rsidRDefault="0029385A">
      <w:pPr>
        <w:pStyle w:val="a4"/>
        <w:numPr>
          <w:ilvl w:val="0"/>
          <w:numId w:val="4"/>
        </w:numPr>
        <w:tabs>
          <w:tab w:val="left" w:pos="905"/>
        </w:tabs>
        <w:spacing w:before="240"/>
        <w:ind w:hanging="357"/>
        <w:rPr>
          <w:sz w:val="24"/>
        </w:rPr>
      </w:pPr>
      <w:r w:rsidRPr="00B86B7E">
        <w:rPr>
          <w:sz w:val="24"/>
        </w:rPr>
        <w:t>ПРЕДПОЛАГАЕМОЕ НАРУШЕНИЕ СТАТЬИ 2 КОНВЕНЦИИ</w:t>
      </w:r>
    </w:p>
    <w:p w:rsidR="00234D92" w:rsidRPr="00B86B7E" w:rsidRDefault="00234D92">
      <w:pPr>
        <w:pStyle w:val="a3"/>
        <w:spacing w:before="10"/>
        <w:rPr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</w:rPr>
      </w:pPr>
      <w:r w:rsidRPr="00B86B7E">
        <w:rPr>
          <w:sz w:val="24"/>
        </w:rPr>
        <w:t>Заявитель утверждает, что расследование обстоятельств смерти его сына было неэффективным и слишком продолжительным. Он ссылается на статью 2 Конвенции, которая гласит:</w:t>
      </w:r>
    </w:p>
    <w:p w:rsidR="00234D92" w:rsidRPr="00B86B7E" w:rsidRDefault="002D4C93">
      <w:pPr>
        <w:spacing w:before="120"/>
        <w:ind w:left="1018" w:right="592" w:firstLine="142"/>
        <w:jc w:val="both"/>
        <w:rPr>
          <w:sz w:val="20"/>
        </w:rPr>
      </w:pPr>
      <w:r>
        <w:rPr>
          <w:sz w:val="20"/>
        </w:rPr>
        <w:t>«</w:t>
      </w:r>
      <w:r w:rsidR="0029385A" w:rsidRPr="00B86B7E">
        <w:rPr>
          <w:sz w:val="20"/>
        </w:rPr>
        <w:t>1. Право каждого человека на жизнь охраняется законом. Никто не может быть умышленно лишен жизни иначе как во исполнение смертного приговора, вынесенного судом за совершение преступления, в отношении которого законом предусмотрено такое наказание.</w:t>
      </w:r>
    </w:p>
    <w:p w:rsidR="00234D92" w:rsidRPr="00B86B7E" w:rsidRDefault="0029385A">
      <w:pPr>
        <w:spacing w:before="120"/>
        <w:ind w:left="1018" w:right="592" w:firstLine="142"/>
        <w:jc w:val="both"/>
        <w:rPr>
          <w:sz w:val="20"/>
        </w:rPr>
      </w:pPr>
      <w:r w:rsidRPr="00B86B7E">
        <w:rPr>
          <w:sz w:val="20"/>
        </w:rPr>
        <w:t>2. Лишение жизни не рассматривается как нарушение настоящей статьи, когда оно является результатом абсолютно необходимого применения силы:</w:t>
      </w:r>
    </w:p>
    <w:p w:rsidR="00234D92" w:rsidRPr="00B86B7E" w:rsidRDefault="0029385A">
      <w:pPr>
        <w:pStyle w:val="a4"/>
        <w:numPr>
          <w:ilvl w:val="0"/>
          <w:numId w:val="3"/>
        </w:numPr>
        <w:tabs>
          <w:tab w:val="left" w:pos="1417"/>
        </w:tabs>
        <w:spacing w:before="120"/>
        <w:ind w:right="0" w:firstLine="142"/>
        <w:rPr>
          <w:sz w:val="20"/>
        </w:rPr>
      </w:pPr>
      <w:r w:rsidRPr="00B86B7E">
        <w:rPr>
          <w:sz w:val="20"/>
        </w:rPr>
        <w:t>для защиты любого лица от противоправного насилия;</w:t>
      </w:r>
    </w:p>
    <w:p w:rsidR="00234D92" w:rsidRPr="00B86B7E" w:rsidRDefault="0029385A">
      <w:pPr>
        <w:pStyle w:val="a4"/>
        <w:numPr>
          <w:ilvl w:val="0"/>
          <w:numId w:val="3"/>
        </w:numPr>
        <w:tabs>
          <w:tab w:val="left" w:pos="1428"/>
        </w:tabs>
        <w:spacing w:before="120"/>
        <w:ind w:firstLine="142"/>
        <w:jc w:val="both"/>
        <w:rPr>
          <w:sz w:val="20"/>
        </w:rPr>
      </w:pPr>
      <w:r w:rsidRPr="00B86B7E">
        <w:rPr>
          <w:sz w:val="20"/>
        </w:rPr>
        <w:t>для осуществления законного задержания или предотвращения побега лица, заключенного под стражу на законных основаниях;</w:t>
      </w:r>
    </w:p>
    <w:p w:rsidR="00234D92" w:rsidRDefault="0029385A">
      <w:pPr>
        <w:pStyle w:val="a4"/>
        <w:numPr>
          <w:ilvl w:val="0"/>
          <w:numId w:val="3"/>
        </w:numPr>
        <w:tabs>
          <w:tab w:val="left" w:pos="1417"/>
        </w:tabs>
        <w:spacing w:before="120"/>
        <w:ind w:right="0" w:firstLine="142"/>
        <w:rPr>
          <w:sz w:val="20"/>
        </w:rPr>
      </w:pPr>
      <w:r w:rsidRPr="00B86B7E">
        <w:rPr>
          <w:sz w:val="20"/>
        </w:rPr>
        <w:t>для подавления, в соответствии с законом, бунта или мятежа.»</w:t>
      </w:r>
    </w:p>
    <w:p w:rsidR="00902284" w:rsidRPr="00B86B7E" w:rsidRDefault="00902284" w:rsidP="00DA19BB">
      <w:pPr>
        <w:pStyle w:val="a4"/>
        <w:tabs>
          <w:tab w:val="left" w:pos="1417"/>
        </w:tabs>
        <w:spacing w:before="120"/>
        <w:ind w:left="1161" w:right="0" w:firstLine="0"/>
        <w:jc w:val="left"/>
        <w:rPr>
          <w:sz w:val="20"/>
        </w:rPr>
      </w:pPr>
    </w:p>
    <w:p w:rsidR="00234D92" w:rsidRPr="00B86B7E" w:rsidRDefault="0029385A">
      <w:pPr>
        <w:pStyle w:val="2"/>
        <w:numPr>
          <w:ilvl w:val="0"/>
          <w:numId w:val="2"/>
        </w:numPr>
        <w:tabs>
          <w:tab w:val="left" w:pos="1178"/>
        </w:tabs>
        <w:spacing w:before="90"/>
      </w:pPr>
      <w:r w:rsidRPr="00B86B7E">
        <w:t>По вопросу приемлемости жалобы</w:t>
      </w:r>
    </w:p>
    <w:p w:rsidR="00234D92" w:rsidRPr="00B86B7E" w:rsidRDefault="00234D92">
      <w:pPr>
        <w:pStyle w:val="a3"/>
        <w:spacing w:before="9"/>
        <w:rPr>
          <w:b/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spacing w:before="1"/>
        <w:ind w:firstLine="284"/>
        <w:jc w:val="both"/>
        <w:rPr>
          <w:sz w:val="24"/>
        </w:rPr>
      </w:pPr>
      <w:r w:rsidRPr="00B86B7E">
        <w:rPr>
          <w:sz w:val="24"/>
        </w:rPr>
        <w:t>Сделав вывод о том, что жалоба не является явно необоснованной по смыслу статьи 35 Конвенции и не является неприемлемой по другим причинам, Суд объявил ее приемлемой.</w:t>
      </w:r>
    </w:p>
    <w:p w:rsidR="00234D92" w:rsidRPr="00B86B7E" w:rsidRDefault="00234D92">
      <w:pPr>
        <w:pStyle w:val="a3"/>
        <w:spacing w:before="4"/>
      </w:pPr>
    </w:p>
    <w:p w:rsidR="00234D92" w:rsidRPr="00B86B7E" w:rsidRDefault="0029385A">
      <w:pPr>
        <w:pStyle w:val="2"/>
        <w:numPr>
          <w:ilvl w:val="0"/>
          <w:numId w:val="2"/>
        </w:numPr>
        <w:tabs>
          <w:tab w:val="left" w:pos="1178"/>
        </w:tabs>
        <w:spacing w:before="0"/>
      </w:pPr>
      <w:r w:rsidRPr="00B86B7E">
        <w:t>По существу</w:t>
      </w:r>
    </w:p>
    <w:p w:rsidR="00234D92" w:rsidRPr="00B86B7E" w:rsidRDefault="00234D92">
      <w:pPr>
        <w:pStyle w:val="a3"/>
        <w:spacing w:before="9"/>
        <w:rPr>
          <w:b/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spacing w:before="1"/>
        <w:ind w:firstLine="284"/>
        <w:jc w:val="both"/>
        <w:rPr>
          <w:sz w:val="24"/>
        </w:rPr>
      </w:pPr>
      <w:r w:rsidRPr="00B86B7E">
        <w:rPr>
          <w:sz w:val="24"/>
        </w:rPr>
        <w:t>Власти не представили замечаний по существу жалобы.</w:t>
      </w:r>
    </w:p>
    <w:p w:rsidR="00234D92" w:rsidRPr="00DA19BB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  <w:szCs w:val="24"/>
        </w:rPr>
      </w:pPr>
      <w:r w:rsidRPr="00DA19BB">
        <w:rPr>
          <w:sz w:val="24"/>
          <w:szCs w:val="24"/>
        </w:rPr>
        <w:t xml:space="preserve">Суд рассмотрит это дело в свете общих принципов, недавно упомянутых в постановлении Большой Палаты Европейского Суда от </w:t>
      </w:r>
      <w:r w:rsidRPr="00DA19BB">
        <w:rPr>
          <w:sz w:val="24"/>
          <w:szCs w:val="24"/>
        </w:rPr>
        <w:lastRenderedPageBreak/>
        <w:t>25 июня 2019 года по делу «Николае Виргилиу Тэнасе против Румынии» (</w:t>
      </w:r>
      <w:r w:rsidRPr="00DA19BB">
        <w:rPr>
          <w:i/>
          <w:sz w:val="24"/>
          <w:szCs w:val="24"/>
        </w:rPr>
        <w:t>Nicolae Virgiliu Tănase c. Roumanie</w:t>
      </w:r>
      <w:r w:rsidRPr="00DA19BB">
        <w:rPr>
          <w:sz w:val="24"/>
          <w:szCs w:val="24"/>
        </w:rPr>
        <w:t xml:space="preserve">), жалоба № </w:t>
      </w:r>
      <w:r w:rsidRPr="001026A9">
        <w:rPr>
          <w:sz w:val="24"/>
          <w:szCs w:val="24"/>
        </w:rPr>
        <w:t>41720/13, пункты 134-145 и 157-171.</w:t>
      </w:r>
    </w:p>
    <w:p w:rsidR="00234D92" w:rsidRPr="00DA19BB" w:rsidRDefault="0029385A">
      <w:pPr>
        <w:pStyle w:val="a4"/>
        <w:numPr>
          <w:ilvl w:val="0"/>
          <w:numId w:val="5"/>
        </w:numPr>
        <w:tabs>
          <w:tab w:val="left" w:pos="1298"/>
        </w:tabs>
        <w:ind w:left="593" w:right="591" w:firstLine="285"/>
        <w:jc w:val="both"/>
        <w:rPr>
          <w:sz w:val="24"/>
          <w:szCs w:val="24"/>
        </w:rPr>
      </w:pPr>
      <w:r w:rsidRPr="00DA19BB">
        <w:rPr>
          <w:sz w:val="24"/>
          <w:szCs w:val="24"/>
        </w:rPr>
        <w:t>В самом начале он отмечает, что сын заявителя погиб в</w:t>
      </w:r>
      <w:r w:rsidR="00902284">
        <w:rPr>
          <w:sz w:val="24"/>
          <w:szCs w:val="24"/>
        </w:rPr>
        <w:t> </w:t>
      </w:r>
      <w:r w:rsidRPr="00DA19BB">
        <w:rPr>
          <w:sz w:val="24"/>
          <w:szCs w:val="24"/>
        </w:rPr>
        <w:t>дорожно-транспортном происшествии. Заявитель не утверждал, что</w:t>
      </w:r>
      <w:r w:rsidR="00902284">
        <w:rPr>
          <w:sz w:val="24"/>
          <w:szCs w:val="24"/>
        </w:rPr>
        <w:t> </w:t>
      </w:r>
      <w:r w:rsidRPr="00DA19BB">
        <w:rPr>
          <w:sz w:val="24"/>
          <w:szCs w:val="24"/>
        </w:rPr>
        <w:t>государство не выполнило свое обязательство по возмещению убытков, предусмотренное статьей 2 Конвенции, о внедрении надлежащего комплекса превентивных мер, направленных на</w:t>
      </w:r>
      <w:r w:rsidR="00902284">
        <w:rPr>
          <w:sz w:val="24"/>
          <w:szCs w:val="24"/>
        </w:rPr>
        <w:t> </w:t>
      </w:r>
      <w:r w:rsidRPr="00DA19BB">
        <w:rPr>
          <w:sz w:val="24"/>
          <w:szCs w:val="24"/>
        </w:rPr>
        <w:t>обеспечение общественной безопасности и максимальное сокращение количества дорожно-транспортных происшествий (см.,</w:t>
      </w:r>
      <w:r w:rsidR="001026A9">
        <w:rPr>
          <w:sz w:val="24"/>
          <w:szCs w:val="24"/>
        </w:rPr>
        <w:t> </w:t>
      </w:r>
      <w:r w:rsidRPr="00DA19BB">
        <w:rPr>
          <w:i/>
          <w:sz w:val="24"/>
          <w:szCs w:val="24"/>
        </w:rPr>
        <w:t>a</w:t>
      </w:r>
      <w:r w:rsidR="00902284">
        <w:rPr>
          <w:i/>
          <w:sz w:val="24"/>
          <w:szCs w:val="24"/>
        </w:rPr>
        <w:t> </w:t>
      </w:r>
      <w:r w:rsidRPr="00DA19BB">
        <w:rPr>
          <w:i/>
          <w:sz w:val="24"/>
          <w:szCs w:val="24"/>
        </w:rPr>
        <w:t>contrario</w:t>
      </w:r>
      <w:r w:rsidRPr="00DA19BB">
        <w:rPr>
          <w:sz w:val="24"/>
          <w:szCs w:val="24"/>
        </w:rPr>
        <w:t>, постановление Европейского Суда от 5 июня 2018 года по делу «Фатих Чакыр и Мерве Ниса Чакыр против Турции» (</w:t>
      </w:r>
      <w:r w:rsidRPr="00DA19BB">
        <w:rPr>
          <w:i/>
          <w:sz w:val="24"/>
          <w:szCs w:val="24"/>
        </w:rPr>
        <w:t>Fatih Çakır et Merve Nisa Çakır c. Turquie</w:t>
      </w:r>
      <w:r w:rsidRPr="00DA19BB">
        <w:rPr>
          <w:sz w:val="24"/>
          <w:szCs w:val="24"/>
        </w:rPr>
        <w:t xml:space="preserve">), жалоба </w:t>
      </w:r>
      <w:r w:rsidRPr="001026A9">
        <w:rPr>
          <w:sz w:val="24"/>
          <w:szCs w:val="24"/>
        </w:rPr>
        <w:t>54558/11</w:t>
      </w:r>
      <w:r w:rsidRPr="00DA19BB">
        <w:rPr>
          <w:sz w:val="24"/>
          <w:szCs w:val="24"/>
        </w:rPr>
        <w:t>, пункты 43 и 48).</w:t>
      </w:r>
      <w:r w:rsidRPr="001026A9">
        <w:rPr>
          <w:sz w:val="24"/>
          <w:szCs w:val="24"/>
        </w:rPr>
        <w:t xml:space="preserve"> В</w:t>
      </w:r>
      <w:r w:rsidR="00902284">
        <w:rPr>
          <w:sz w:val="24"/>
          <w:szCs w:val="24"/>
        </w:rPr>
        <w:t> </w:t>
      </w:r>
      <w:r w:rsidRPr="00DA19BB">
        <w:rPr>
          <w:sz w:val="24"/>
          <w:szCs w:val="24"/>
        </w:rPr>
        <w:t>этих обстоятельствах задача Суда состоит только в том, чтобы установить, выполнило ли государство свое обязательство по</w:t>
      </w:r>
      <w:r w:rsidR="00902284">
        <w:rPr>
          <w:sz w:val="24"/>
          <w:szCs w:val="24"/>
        </w:rPr>
        <w:t> </w:t>
      </w:r>
      <w:r w:rsidRPr="00DA19BB">
        <w:rPr>
          <w:sz w:val="24"/>
          <w:szCs w:val="24"/>
        </w:rPr>
        <w:t>отправлению правосудия и созданию эффективной и независимой судебной системы, позволяющей установить факты в кратчайшие сроки, наказать виновных и гарантировать жертвам адекватную компенсацию (см. упоминавшееся выше постановление по делу «Николае Виргилиу Тэнасе против Румынии», пункт 137).</w:t>
      </w:r>
    </w:p>
    <w:p w:rsidR="00234D92" w:rsidRDefault="0029385A">
      <w:pPr>
        <w:pStyle w:val="a4"/>
        <w:numPr>
          <w:ilvl w:val="0"/>
          <w:numId w:val="5"/>
        </w:numPr>
        <w:tabs>
          <w:tab w:val="left" w:pos="1298"/>
        </w:tabs>
        <w:ind w:left="593" w:firstLine="285"/>
        <w:jc w:val="both"/>
        <w:rPr>
          <w:sz w:val="24"/>
          <w:szCs w:val="24"/>
        </w:rPr>
      </w:pPr>
      <w:r w:rsidRPr="00DA19BB">
        <w:rPr>
          <w:sz w:val="24"/>
          <w:szCs w:val="24"/>
        </w:rPr>
        <w:t>Суд отмечает, что в настоящем деле нет ничего, что бы указывало на то, что смерть сына заявителя была результатом преднамеренного действия, или что это произошло при подозрительных обстоятельствах. Следовательно, нельзя сказать, что только уголовно</w:t>
      </w:r>
      <w:r w:rsidR="006F05AD">
        <w:rPr>
          <w:sz w:val="24"/>
          <w:szCs w:val="24"/>
        </w:rPr>
        <w:t>е</w:t>
      </w:r>
      <w:r w:rsidRPr="00DA19BB">
        <w:rPr>
          <w:sz w:val="24"/>
          <w:szCs w:val="24"/>
        </w:rPr>
        <w:t xml:space="preserve"> дел</w:t>
      </w:r>
      <w:r w:rsidR="006F05AD">
        <w:rPr>
          <w:sz w:val="24"/>
          <w:szCs w:val="24"/>
        </w:rPr>
        <w:t>о</w:t>
      </w:r>
      <w:r w:rsidRPr="00DA19BB">
        <w:rPr>
          <w:sz w:val="24"/>
          <w:szCs w:val="24"/>
        </w:rPr>
        <w:t xml:space="preserve"> могл</w:t>
      </w:r>
      <w:r w:rsidR="006F05AD">
        <w:rPr>
          <w:sz w:val="24"/>
          <w:szCs w:val="24"/>
        </w:rPr>
        <w:t>о</w:t>
      </w:r>
      <w:r w:rsidRPr="00DA19BB">
        <w:rPr>
          <w:sz w:val="24"/>
          <w:szCs w:val="24"/>
        </w:rPr>
        <w:t xml:space="preserve"> бы удовлетворить требование об адекватном ответе по смыслу статьи 2 Конвенции. Действительно, если право на жизнь или физическую неприкосновенность нарушается непреднамеренно, обязательство касательно создания «эффективной судебной системы» не обязательно во всех случаях предусматривает  уголовно</w:t>
      </w:r>
      <w:r w:rsidR="006F05AD">
        <w:rPr>
          <w:sz w:val="24"/>
          <w:szCs w:val="24"/>
        </w:rPr>
        <w:t>е</w:t>
      </w:r>
      <w:r w:rsidRPr="00DA19BB">
        <w:rPr>
          <w:sz w:val="24"/>
          <w:szCs w:val="24"/>
        </w:rPr>
        <w:t xml:space="preserve"> дел</w:t>
      </w:r>
      <w:r w:rsidR="006F05AD">
        <w:rPr>
          <w:sz w:val="24"/>
          <w:szCs w:val="24"/>
        </w:rPr>
        <w:t>о</w:t>
      </w:r>
      <w:r w:rsidRPr="00DA19BB">
        <w:rPr>
          <w:sz w:val="24"/>
          <w:szCs w:val="24"/>
        </w:rPr>
        <w:t xml:space="preserve"> и может быть удовлетворено обращением в общегражданские суды, отдельно или совместно с обращением в уголовные суды, для установления ответственности соответствующих лиц и, в надлежащем случае, применения соответствующей санкции в гражданском праве, как, например, компенсация убытков (см. постановление Европейского Суда от 24 мая 2011 года по делу «Анна Тодорова против Болгарии» (</w:t>
      </w:r>
      <w:r w:rsidRPr="00DA19BB">
        <w:rPr>
          <w:i/>
          <w:sz w:val="24"/>
          <w:szCs w:val="24"/>
        </w:rPr>
        <w:t>Anna Todorova c. Bulgarie</w:t>
      </w:r>
      <w:r w:rsidRPr="00DA19BB">
        <w:rPr>
          <w:sz w:val="24"/>
          <w:szCs w:val="24"/>
        </w:rPr>
        <w:t xml:space="preserve">), жалоба № </w:t>
      </w:r>
      <w:r w:rsidRPr="001026A9">
        <w:rPr>
          <w:sz w:val="24"/>
          <w:szCs w:val="24"/>
        </w:rPr>
        <w:t>23302/03</w:t>
      </w:r>
      <w:r w:rsidRPr="00DA19BB">
        <w:rPr>
          <w:sz w:val="24"/>
          <w:szCs w:val="24"/>
        </w:rPr>
        <w:t>, пункт 73, и упоминавшееся выше постановление по делу «Николае Виргилиу Тэнасе против Румынии», пункт 159).</w:t>
      </w:r>
    </w:p>
    <w:p w:rsidR="0003598C" w:rsidRPr="00DA19BB" w:rsidRDefault="0003598C" w:rsidP="00DA19BB">
      <w:pPr>
        <w:pStyle w:val="a4"/>
        <w:numPr>
          <w:ilvl w:val="0"/>
          <w:numId w:val="5"/>
        </w:numPr>
        <w:tabs>
          <w:tab w:val="left" w:pos="1298"/>
        </w:tabs>
        <w:ind w:left="593" w:firstLine="285"/>
        <w:jc w:val="both"/>
        <w:rPr>
          <w:sz w:val="24"/>
          <w:szCs w:val="24"/>
        </w:rPr>
      </w:pPr>
      <w:r w:rsidRPr="001026A9">
        <w:rPr>
          <w:sz w:val="24"/>
          <w:szCs w:val="24"/>
        </w:rPr>
        <w:t>Однако Суд отмечает, что Власти не утверждали, что у заявителя было средство правовой защиты в гражданском процессе, которое он мог бы использовать для установления</w:t>
      </w:r>
      <w:r w:rsidRPr="00DA19BB">
        <w:rPr>
          <w:sz w:val="24"/>
          <w:szCs w:val="24"/>
        </w:rPr>
        <w:t xml:space="preserve"> обстоятельств смерти своего сына. Следовательно, он ограничится рассмотрением того, соответствует ли расследование обстоятельств смерти сына заявителя требованиям законодательства, предусмотренным статьей 2 Конвенции (см. постановление Европейского Суда от 13 ноября 2014 года по делу «Старчевич против Хорватии» (Starčević c. Croatie), жалоба № 80909/12, пункт 57).</w:t>
      </w:r>
    </w:p>
    <w:p w:rsidR="00234D92" w:rsidRPr="00DA19BB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  <w:szCs w:val="24"/>
        </w:rPr>
      </w:pPr>
      <w:r w:rsidRPr="00DA19BB">
        <w:rPr>
          <w:sz w:val="24"/>
          <w:szCs w:val="24"/>
        </w:rPr>
        <w:t xml:space="preserve">Он отмечает, что расследование длилось семь лет, в течение которых вышестоящими органами было </w:t>
      </w:r>
      <w:r w:rsidR="001026A9">
        <w:rPr>
          <w:sz w:val="24"/>
          <w:szCs w:val="24"/>
        </w:rPr>
        <w:t>отменено</w:t>
      </w:r>
      <w:r w:rsidR="001026A9" w:rsidRPr="00DA19BB">
        <w:rPr>
          <w:sz w:val="24"/>
          <w:szCs w:val="24"/>
        </w:rPr>
        <w:t xml:space="preserve"> </w:t>
      </w:r>
      <w:r w:rsidRPr="00DA19BB">
        <w:rPr>
          <w:sz w:val="24"/>
          <w:szCs w:val="24"/>
        </w:rPr>
        <w:t xml:space="preserve">более чем двадцать случаев отклонения </w:t>
      </w:r>
      <w:r w:rsidR="001026A9">
        <w:rPr>
          <w:sz w:val="24"/>
          <w:szCs w:val="24"/>
        </w:rPr>
        <w:t>заявления</w:t>
      </w:r>
      <w:r w:rsidR="001026A9" w:rsidRPr="00DA19BB">
        <w:rPr>
          <w:sz w:val="24"/>
          <w:szCs w:val="24"/>
        </w:rPr>
        <w:t xml:space="preserve"> </w:t>
      </w:r>
      <w:r w:rsidRPr="00DA19BB">
        <w:rPr>
          <w:sz w:val="24"/>
          <w:szCs w:val="24"/>
        </w:rPr>
        <w:t xml:space="preserve">(см. пункт </w:t>
      </w:r>
      <w:hyperlink w:anchor="_bookmark0" w:history="1">
        <w:r w:rsidRPr="00DA19BB">
          <w:rPr>
            <w:sz w:val="24"/>
            <w:szCs w:val="24"/>
          </w:rPr>
          <w:t xml:space="preserve">4 </w:t>
        </w:r>
      </w:hyperlink>
      <w:r w:rsidRPr="00DA19BB">
        <w:rPr>
          <w:sz w:val="24"/>
          <w:szCs w:val="24"/>
        </w:rPr>
        <w:t xml:space="preserve">выше). Национальными судами было отмечено отсутствие </w:t>
      </w:r>
      <w:r w:rsidR="00E20E80">
        <w:rPr>
          <w:sz w:val="24"/>
          <w:szCs w:val="24"/>
        </w:rPr>
        <w:t>усердия</w:t>
      </w:r>
      <w:r w:rsidRPr="00DA19BB">
        <w:rPr>
          <w:sz w:val="24"/>
          <w:szCs w:val="24"/>
        </w:rPr>
        <w:t xml:space="preserve"> </w:t>
      </w:r>
      <w:r w:rsidR="001026A9">
        <w:rPr>
          <w:sz w:val="24"/>
          <w:szCs w:val="24"/>
        </w:rPr>
        <w:t>при</w:t>
      </w:r>
      <w:r w:rsidRPr="00DA19BB">
        <w:rPr>
          <w:sz w:val="24"/>
          <w:szCs w:val="24"/>
        </w:rPr>
        <w:t xml:space="preserve"> проведении </w:t>
      </w:r>
      <w:r w:rsidRPr="00DA19BB">
        <w:rPr>
          <w:sz w:val="24"/>
          <w:szCs w:val="24"/>
        </w:rPr>
        <w:lastRenderedPageBreak/>
        <w:t xml:space="preserve">расследования (см. </w:t>
      </w:r>
      <w:hyperlink w:anchor="_bookmark1" w:history="1">
        <w:r w:rsidRPr="00DA19BB">
          <w:rPr>
            <w:sz w:val="24"/>
            <w:szCs w:val="24"/>
          </w:rPr>
          <w:t xml:space="preserve">6 </w:t>
        </w:r>
      </w:hyperlink>
      <w:r w:rsidRPr="00DA19BB">
        <w:rPr>
          <w:sz w:val="24"/>
          <w:szCs w:val="24"/>
        </w:rPr>
        <w:t xml:space="preserve">и </w:t>
      </w:r>
      <w:hyperlink w:anchor="_bookmark2" w:history="1">
        <w:r w:rsidRPr="00DA19BB">
          <w:rPr>
            <w:sz w:val="24"/>
            <w:szCs w:val="24"/>
          </w:rPr>
          <w:t xml:space="preserve">8 </w:t>
        </w:r>
      </w:hyperlink>
      <w:r w:rsidRPr="00DA19BB">
        <w:rPr>
          <w:sz w:val="24"/>
          <w:szCs w:val="24"/>
        </w:rPr>
        <w:t>выше). Учитывая эти элементы, Суд считает, что национальные органы власти не выполнили свои позитивные процессуальные обязательства по установлению фактов «в кратчайшие сроки».</w:t>
      </w:r>
    </w:p>
    <w:p w:rsidR="00234D92" w:rsidRPr="00DA19BB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  <w:szCs w:val="24"/>
        </w:rPr>
      </w:pPr>
      <w:r w:rsidRPr="00DA19BB">
        <w:rPr>
          <w:sz w:val="24"/>
          <w:szCs w:val="24"/>
        </w:rPr>
        <w:t xml:space="preserve">Вышеизложенные выводы заставляют Суд считать, что национальные органы власти не действовали с должной </w:t>
      </w:r>
      <w:r w:rsidR="00E20E80">
        <w:rPr>
          <w:sz w:val="24"/>
          <w:szCs w:val="24"/>
        </w:rPr>
        <w:t>осмотрительностью</w:t>
      </w:r>
      <w:r w:rsidRPr="00DA19BB">
        <w:rPr>
          <w:sz w:val="24"/>
          <w:szCs w:val="24"/>
        </w:rPr>
        <w:t>, требуемой статьей 2 Конвенции. Следовательно, он приходит к заключению, что это положение было нарушено в его процессуальном аспекте.</w:t>
      </w:r>
    </w:p>
    <w:p w:rsidR="00234D92" w:rsidRPr="001026A9" w:rsidRDefault="0029385A">
      <w:pPr>
        <w:pStyle w:val="a4"/>
        <w:numPr>
          <w:ilvl w:val="0"/>
          <w:numId w:val="5"/>
        </w:numPr>
        <w:tabs>
          <w:tab w:val="left" w:pos="1298"/>
        </w:tabs>
        <w:ind w:right="591" w:firstLine="284"/>
        <w:jc w:val="both"/>
        <w:rPr>
          <w:sz w:val="24"/>
          <w:szCs w:val="24"/>
        </w:rPr>
      </w:pPr>
      <w:r w:rsidRPr="00DA19BB">
        <w:rPr>
          <w:sz w:val="24"/>
          <w:szCs w:val="24"/>
        </w:rPr>
        <w:t>Суд отмечает, что на внутригосударственном уровне заявитель получил 372 евро в качестве компенсации морального вреда в связи с продолжительностью рассматриваемого расследования. Тем не менее, он считает, что этой суммы недостаточно, чтобы лишить заявителя статуса жертвы нарушения статьи 2 Конвенции (см., для примера, постановление Европейского Суда от 3 октября 2017 года по делу «Тихомирова против России» (</w:t>
      </w:r>
      <w:r w:rsidRPr="00DA19BB">
        <w:rPr>
          <w:i/>
          <w:sz w:val="24"/>
          <w:szCs w:val="24"/>
        </w:rPr>
        <w:t xml:space="preserve">Tikhomirova c. Russie), </w:t>
      </w:r>
      <w:r w:rsidRPr="00DA19BB">
        <w:rPr>
          <w:sz w:val="24"/>
          <w:szCs w:val="24"/>
        </w:rPr>
        <w:t>жалоба №</w:t>
      </w:r>
      <w:r w:rsidR="001026A9">
        <w:rPr>
          <w:sz w:val="24"/>
          <w:szCs w:val="24"/>
        </w:rPr>
        <w:t> </w:t>
      </w:r>
      <w:r w:rsidRPr="00DA19BB">
        <w:rPr>
          <w:sz w:val="24"/>
          <w:szCs w:val="24"/>
        </w:rPr>
        <w:t>49626/07, пункт 37, в котором Суд присудил 10 000 евро за нарушение процессуального аспекта этого положения Конвенции).</w:t>
      </w:r>
    </w:p>
    <w:p w:rsidR="00234D92" w:rsidRPr="00B86B7E" w:rsidRDefault="00234D92">
      <w:pPr>
        <w:pStyle w:val="a3"/>
        <w:spacing w:before="4"/>
      </w:pPr>
    </w:p>
    <w:p w:rsidR="00234D92" w:rsidRPr="00B86B7E" w:rsidRDefault="0029385A">
      <w:pPr>
        <w:pStyle w:val="a4"/>
        <w:numPr>
          <w:ilvl w:val="0"/>
          <w:numId w:val="4"/>
        </w:numPr>
        <w:tabs>
          <w:tab w:val="left" w:pos="874"/>
        </w:tabs>
        <w:ind w:left="873" w:right="0" w:hanging="279"/>
        <w:jc w:val="both"/>
        <w:rPr>
          <w:sz w:val="24"/>
        </w:rPr>
      </w:pPr>
      <w:r w:rsidRPr="00B86B7E">
        <w:rPr>
          <w:sz w:val="24"/>
        </w:rPr>
        <w:t>ПРИМЕНЕНИЕ СТАТЬИ 41 КОНВЕНЦИИ</w:t>
      </w:r>
    </w:p>
    <w:p w:rsidR="00234D92" w:rsidRPr="00B86B7E" w:rsidRDefault="00234D92">
      <w:pPr>
        <w:pStyle w:val="a3"/>
        <w:spacing w:before="9"/>
        <w:rPr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spacing w:before="1"/>
        <w:ind w:left="1298" w:right="0" w:hanging="420"/>
        <w:rPr>
          <w:sz w:val="24"/>
        </w:rPr>
      </w:pPr>
      <w:r w:rsidRPr="00B86B7E">
        <w:rPr>
          <w:sz w:val="24"/>
        </w:rPr>
        <w:t>Статья 41 Конвенции гласит следующее:</w:t>
      </w:r>
    </w:p>
    <w:p w:rsidR="00234D92" w:rsidRPr="00B86B7E" w:rsidRDefault="0029385A">
      <w:pPr>
        <w:spacing w:before="120"/>
        <w:ind w:left="1018" w:right="591" w:firstLine="142"/>
        <w:jc w:val="both"/>
        <w:rPr>
          <w:sz w:val="20"/>
        </w:rPr>
      </w:pPr>
      <w:r w:rsidRPr="00B86B7E">
        <w:rPr>
          <w:sz w:val="20"/>
        </w:rP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</w:t>
      </w:r>
      <w:r w:rsidR="00546C68" w:rsidRPr="00B86B7E">
        <w:rPr>
          <w:sz w:val="20"/>
        </w:rPr>
        <w:t>.»</w:t>
      </w:r>
    </w:p>
    <w:p w:rsidR="00234D92" w:rsidRPr="00B86B7E" w:rsidRDefault="00234D92">
      <w:pPr>
        <w:pStyle w:val="a3"/>
        <w:spacing w:before="3"/>
      </w:pPr>
    </w:p>
    <w:p w:rsidR="00234D92" w:rsidRPr="00B86B7E" w:rsidRDefault="0029385A">
      <w:pPr>
        <w:pStyle w:val="2"/>
        <w:numPr>
          <w:ilvl w:val="0"/>
          <w:numId w:val="1"/>
        </w:numPr>
        <w:tabs>
          <w:tab w:val="left" w:pos="1178"/>
        </w:tabs>
      </w:pPr>
      <w:r w:rsidRPr="00B86B7E">
        <w:t>Ущерб</w:t>
      </w:r>
    </w:p>
    <w:p w:rsidR="00234D92" w:rsidRPr="00B86B7E" w:rsidRDefault="00234D92">
      <w:pPr>
        <w:pStyle w:val="a3"/>
        <w:spacing w:before="10"/>
        <w:rPr>
          <w:b/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</w:rPr>
      </w:pPr>
      <w:r w:rsidRPr="00B86B7E">
        <w:rPr>
          <w:sz w:val="24"/>
        </w:rPr>
        <w:t xml:space="preserve">Заявитель требует взыскать в его пользу 50 000 евро в качестве компенсации причиненного морального вреда. Что касается материального </w:t>
      </w:r>
      <w:r w:rsidR="001026A9">
        <w:rPr>
          <w:sz w:val="24"/>
        </w:rPr>
        <w:t>ущерба</w:t>
      </w:r>
      <w:r w:rsidRPr="00B86B7E">
        <w:rPr>
          <w:sz w:val="24"/>
        </w:rPr>
        <w:t>, он также требует 2 350 евро для компенсации расходов, связанных с похоронами его сына и уничтожением транспортного средства последнего.</w:t>
      </w:r>
    </w:p>
    <w:p w:rsidR="00234D92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</w:rPr>
      </w:pPr>
      <w:r w:rsidRPr="00B86B7E">
        <w:rPr>
          <w:sz w:val="24"/>
        </w:rPr>
        <w:t>Власти не представили возражений по требованию заявителя о</w:t>
      </w:r>
      <w:r w:rsidR="001026A9">
        <w:rPr>
          <w:sz w:val="24"/>
        </w:rPr>
        <w:t> </w:t>
      </w:r>
      <w:r w:rsidRPr="00B86B7E">
        <w:rPr>
          <w:sz w:val="24"/>
        </w:rPr>
        <w:t xml:space="preserve">компенсации морального вреда. Что касается материального </w:t>
      </w:r>
      <w:r w:rsidR="001026A9">
        <w:rPr>
          <w:sz w:val="24"/>
        </w:rPr>
        <w:t>ущерба</w:t>
      </w:r>
      <w:r w:rsidRPr="00B86B7E">
        <w:rPr>
          <w:sz w:val="24"/>
        </w:rPr>
        <w:t>, Власти указывают, что суммы, требуемые заявителем, не</w:t>
      </w:r>
      <w:r w:rsidR="001026A9">
        <w:rPr>
          <w:sz w:val="24"/>
        </w:rPr>
        <w:t> </w:t>
      </w:r>
      <w:r w:rsidRPr="00B86B7E">
        <w:rPr>
          <w:sz w:val="24"/>
        </w:rPr>
        <w:t>подтверждены никаким документом.</w:t>
      </w:r>
    </w:p>
    <w:p w:rsidR="0003598C" w:rsidRPr="001026A9" w:rsidRDefault="0003598C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  <w:szCs w:val="24"/>
        </w:rPr>
      </w:pPr>
      <w:r w:rsidRPr="001026A9">
        <w:rPr>
          <w:sz w:val="24"/>
          <w:szCs w:val="24"/>
        </w:rPr>
        <w:t xml:space="preserve"> </w:t>
      </w:r>
      <w:r w:rsidRPr="00DA19BB">
        <w:rPr>
          <w:sz w:val="24"/>
          <w:szCs w:val="24"/>
        </w:rPr>
        <w:t xml:space="preserve">Суд не видит причинно-следственной связи между установленным нарушением и материальным </w:t>
      </w:r>
      <w:r w:rsidR="001026A9">
        <w:rPr>
          <w:sz w:val="24"/>
          <w:szCs w:val="24"/>
        </w:rPr>
        <w:t>ущербом</w:t>
      </w:r>
      <w:r w:rsidRPr="001026A9">
        <w:rPr>
          <w:sz w:val="24"/>
          <w:szCs w:val="24"/>
        </w:rPr>
        <w:t>, на который ссылается заявитель. Поэтому он отклоняет это требование. Тем не менее, принимая во внимание сумму, полученную</w:t>
      </w:r>
      <w:r w:rsidRPr="00DA19BB">
        <w:rPr>
          <w:sz w:val="24"/>
          <w:szCs w:val="24"/>
        </w:rPr>
        <w:t xml:space="preserve"> заявителем на внутригосударственном уровне (см. пункт </w:t>
      </w:r>
      <w:hyperlink w:anchor="_bookmark2" w:history="1">
        <w:r w:rsidRPr="00DA19BB">
          <w:rPr>
            <w:sz w:val="24"/>
            <w:szCs w:val="24"/>
          </w:rPr>
          <w:t xml:space="preserve">8 </w:t>
        </w:r>
      </w:hyperlink>
      <w:r w:rsidRPr="00DA19BB">
        <w:rPr>
          <w:sz w:val="24"/>
          <w:szCs w:val="24"/>
        </w:rPr>
        <w:t>выше), Суд ему присуждает 9 700 евро в качестве компенсации морального вреда.</w:t>
      </w:r>
    </w:p>
    <w:p w:rsidR="00234D92" w:rsidRPr="00B86B7E" w:rsidRDefault="0029385A">
      <w:pPr>
        <w:pStyle w:val="2"/>
        <w:numPr>
          <w:ilvl w:val="0"/>
          <w:numId w:val="1"/>
        </w:numPr>
        <w:tabs>
          <w:tab w:val="left" w:pos="1178"/>
        </w:tabs>
      </w:pPr>
      <w:r w:rsidRPr="00B86B7E">
        <w:t>Судебные издержки и расходы</w:t>
      </w:r>
    </w:p>
    <w:p w:rsidR="00234D92" w:rsidRPr="00B86B7E" w:rsidRDefault="00234D92">
      <w:pPr>
        <w:pStyle w:val="a3"/>
        <w:spacing w:before="10"/>
        <w:rPr>
          <w:b/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</w:rPr>
      </w:pPr>
      <w:r w:rsidRPr="00B86B7E">
        <w:rPr>
          <w:sz w:val="24"/>
        </w:rPr>
        <w:t>Заявитель требует 70 000 российских рублей в качестве компенсации судебных издержек и расходов, в том числе 45 000 руб. для покрытия расходов, связанных с его представительством в национальных судебных органах, и 25 000 руб. для покрытия расходов, понесенных в связи с его представительством в Суде.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</w:rPr>
      </w:pPr>
      <w:r w:rsidRPr="00B86B7E">
        <w:rPr>
          <w:sz w:val="24"/>
        </w:rPr>
        <w:lastRenderedPageBreak/>
        <w:t>Власти утверждают, что требование заявителя является необоснованным.</w:t>
      </w: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ind w:right="593" w:firstLine="284"/>
        <w:jc w:val="both"/>
        <w:rPr>
          <w:sz w:val="24"/>
        </w:rPr>
      </w:pPr>
      <w:r w:rsidRPr="00B86B7E">
        <w:rPr>
          <w:sz w:val="24"/>
        </w:rPr>
        <w:t>Принимая во внимание имеющиеся в распоряжении Суда документы и его собственную прецедентную практику, Суд считает разумным присудить заявителю сумму в размере 400 евро в качестве компенсации всех издержек.</w:t>
      </w:r>
    </w:p>
    <w:p w:rsidR="00234D92" w:rsidRPr="00B86B7E" w:rsidRDefault="00234D92">
      <w:pPr>
        <w:pStyle w:val="a3"/>
        <w:spacing w:before="3"/>
      </w:pPr>
    </w:p>
    <w:p w:rsidR="00234D92" w:rsidRPr="00B86B7E" w:rsidRDefault="0029385A">
      <w:pPr>
        <w:pStyle w:val="2"/>
        <w:numPr>
          <w:ilvl w:val="0"/>
          <w:numId w:val="1"/>
        </w:numPr>
        <w:tabs>
          <w:tab w:val="left" w:pos="1178"/>
        </w:tabs>
      </w:pPr>
      <w:r w:rsidRPr="00B86B7E">
        <w:t>Процентная ставка при просрочке платежа</w:t>
      </w:r>
    </w:p>
    <w:p w:rsidR="00234D92" w:rsidRPr="00B86B7E" w:rsidRDefault="00234D92">
      <w:pPr>
        <w:pStyle w:val="a3"/>
        <w:spacing w:before="10"/>
        <w:rPr>
          <w:b/>
          <w:sz w:val="20"/>
        </w:rPr>
      </w:pPr>
    </w:p>
    <w:p w:rsidR="00234D92" w:rsidRPr="00B86B7E" w:rsidRDefault="0029385A">
      <w:pPr>
        <w:pStyle w:val="a4"/>
        <w:numPr>
          <w:ilvl w:val="0"/>
          <w:numId w:val="5"/>
        </w:numPr>
        <w:tabs>
          <w:tab w:val="left" w:pos="1298"/>
        </w:tabs>
        <w:ind w:firstLine="284"/>
        <w:jc w:val="both"/>
        <w:rPr>
          <w:sz w:val="24"/>
        </w:rPr>
      </w:pPr>
      <w:r w:rsidRPr="00B86B7E">
        <w:rPr>
          <w:sz w:val="24"/>
        </w:rPr>
        <w:t xml:space="preserve">Суд считает целесообразным установить процентную ставку за просрочку платежа в размере, равном предельной </w:t>
      </w:r>
      <w:r w:rsidR="001026A9">
        <w:rPr>
          <w:sz w:val="24"/>
        </w:rPr>
        <w:t xml:space="preserve">учетной </w:t>
      </w:r>
      <w:r w:rsidRPr="00B86B7E">
        <w:rPr>
          <w:sz w:val="24"/>
        </w:rPr>
        <w:t>ставке Европейского центрального банка плюс три процент</w:t>
      </w:r>
      <w:r w:rsidR="001026A9">
        <w:rPr>
          <w:sz w:val="24"/>
        </w:rPr>
        <w:t>ных пункта</w:t>
      </w:r>
      <w:r w:rsidRPr="00B86B7E">
        <w:rPr>
          <w:sz w:val="24"/>
        </w:rPr>
        <w:t>.</w:t>
      </w:r>
    </w:p>
    <w:p w:rsidR="00234D92" w:rsidRPr="00B86B7E" w:rsidRDefault="00234D92">
      <w:pPr>
        <w:pStyle w:val="a3"/>
        <w:spacing w:before="4"/>
      </w:pPr>
    </w:p>
    <w:p w:rsidR="00234D92" w:rsidRPr="00B86B7E" w:rsidRDefault="0029385A">
      <w:pPr>
        <w:pStyle w:val="1"/>
      </w:pPr>
      <w:r w:rsidRPr="00B86B7E">
        <w:t>ПО ЭТИМ ОСНОВАНИЯМ СУД ЕДИНОГЛАСНО</w:t>
      </w:r>
    </w:p>
    <w:p w:rsidR="00234D92" w:rsidRPr="00B86B7E" w:rsidRDefault="00234D92">
      <w:pPr>
        <w:pStyle w:val="a3"/>
        <w:rPr>
          <w:sz w:val="30"/>
        </w:rPr>
      </w:pPr>
    </w:p>
    <w:p w:rsidR="00234D92" w:rsidRPr="00B86B7E" w:rsidRDefault="0029385A">
      <w:pPr>
        <w:pStyle w:val="a4"/>
        <w:numPr>
          <w:ilvl w:val="1"/>
          <w:numId w:val="4"/>
        </w:numPr>
        <w:tabs>
          <w:tab w:val="left" w:pos="934"/>
        </w:tabs>
        <w:spacing w:before="257"/>
        <w:ind w:right="0"/>
        <w:rPr>
          <w:sz w:val="24"/>
        </w:rPr>
      </w:pPr>
      <w:r w:rsidRPr="00B86B7E">
        <w:rPr>
          <w:i/>
          <w:sz w:val="24"/>
        </w:rPr>
        <w:t>объявил</w:t>
      </w:r>
      <w:r w:rsidRPr="00B86B7E">
        <w:rPr>
          <w:sz w:val="24"/>
        </w:rPr>
        <w:t xml:space="preserve"> жалобу приемлемой;</w:t>
      </w:r>
    </w:p>
    <w:p w:rsidR="00234D92" w:rsidRPr="00B86B7E" w:rsidRDefault="00234D92">
      <w:pPr>
        <w:pStyle w:val="a3"/>
        <w:spacing w:before="4"/>
      </w:pPr>
    </w:p>
    <w:p w:rsidR="00234D92" w:rsidRPr="00B86B7E" w:rsidRDefault="0029385A">
      <w:pPr>
        <w:pStyle w:val="a4"/>
        <w:numPr>
          <w:ilvl w:val="1"/>
          <w:numId w:val="4"/>
        </w:numPr>
        <w:tabs>
          <w:tab w:val="left" w:pos="934"/>
        </w:tabs>
        <w:rPr>
          <w:sz w:val="24"/>
        </w:rPr>
      </w:pPr>
      <w:r w:rsidRPr="00B86B7E">
        <w:rPr>
          <w:i/>
          <w:iCs/>
          <w:sz w:val="24"/>
        </w:rPr>
        <w:t>постановил</w:t>
      </w:r>
      <w:r w:rsidRPr="00B86B7E">
        <w:rPr>
          <w:sz w:val="24"/>
        </w:rPr>
        <w:t>, что имело место нарушение статьи 2 Конвенции в ее процессуальном аспекте;</w:t>
      </w:r>
    </w:p>
    <w:p w:rsidR="00234D92" w:rsidRPr="00B86B7E" w:rsidRDefault="00234D92">
      <w:pPr>
        <w:pStyle w:val="a3"/>
        <w:spacing w:before="3"/>
      </w:pPr>
    </w:p>
    <w:p w:rsidR="00234D92" w:rsidRPr="00B86B7E" w:rsidRDefault="0029385A">
      <w:pPr>
        <w:pStyle w:val="a4"/>
        <w:numPr>
          <w:ilvl w:val="1"/>
          <w:numId w:val="4"/>
        </w:numPr>
        <w:tabs>
          <w:tab w:val="left" w:pos="934"/>
        </w:tabs>
        <w:spacing w:before="1"/>
        <w:ind w:right="0"/>
        <w:rPr>
          <w:sz w:val="24"/>
        </w:rPr>
      </w:pPr>
      <w:r w:rsidRPr="00B86B7E">
        <w:rPr>
          <w:i/>
          <w:sz w:val="24"/>
        </w:rPr>
        <w:t>постановил,</w:t>
      </w:r>
    </w:p>
    <w:p w:rsidR="00234D92" w:rsidRPr="00B86B7E" w:rsidRDefault="0029385A">
      <w:pPr>
        <w:pStyle w:val="a4"/>
        <w:numPr>
          <w:ilvl w:val="2"/>
          <w:numId w:val="4"/>
        </w:numPr>
        <w:tabs>
          <w:tab w:val="left" w:pos="1274"/>
        </w:tabs>
        <w:spacing w:before="60"/>
        <w:ind w:right="593"/>
        <w:jc w:val="both"/>
        <w:rPr>
          <w:sz w:val="24"/>
        </w:rPr>
      </w:pPr>
      <w:r w:rsidRPr="00B86B7E">
        <w:rPr>
          <w:sz w:val="24"/>
        </w:rPr>
        <w:t>что государство-ответчик должно выплатить заявителю в</w:t>
      </w:r>
      <w:r w:rsidR="001026A9">
        <w:rPr>
          <w:sz w:val="24"/>
        </w:rPr>
        <w:t> </w:t>
      </w:r>
      <w:r w:rsidRPr="00B86B7E">
        <w:rPr>
          <w:sz w:val="24"/>
        </w:rPr>
        <w:t>течение трех месяцев следующие суммы в пересчете на национальную валюту государства-ответчика по курсу, действующему на дату выплаты:</w:t>
      </w:r>
    </w:p>
    <w:p w:rsidR="00234D92" w:rsidRPr="00B86B7E" w:rsidRDefault="0029385A">
      <w:pPr>
        <w:pStyle w:val="a4"/>
        <w:numPr>
          <w:ilvl w:val="3"/>
          <w:numId w:val="4"/>
        </w:numPr>
        <w:tabs>
          <w:tab w:val="left" w:pos="1728"/>
        </w:tabs>
        <w:jc w:val="both"/>
        <w:rPr>
          <w:sz w:val="24"/>
        </w:rPr>
      </w:pPr>
      <w:r w:rsidRPr="00B86B7E">
        <w:rPr>
          <w:sz w:val="24"/>
        </w:rPr>
        <w:t>9 700 евро (девять тысяч семьсот евро) в качестве компенсации морального вреда, а также любой налог, подлежащий начислению на указанную сумму;</w:t>
      </w:r>
    </w:p>
    <w:p w:rsidR="00234D92" w:rsidRPr="00B86B7E" w:rsidRDefault="0029385A">
      <w:pPr>
        <w:pStyle w:val="a4"/>
        <w:numPr>
          <w:ilvl w:val="3"/>
          <w:numId w:val="4"/>
        </w:numPr>
        <w:tabs>
          <w:tab w:val="left" w:pos="1728"/>
        </w:tabs>
        <w:jc w:val="both"/>
        <w:rPr>
          <w:sz w:val="24"/>
        </w:rPr>
      </w:pPr>
      <w:r w:rsidRPr="00B86B7E">
        <w:rPr>
          <w:sz w:val="24"/>
        </w:rPr>
        <w:t>400 евро (четыреста евро), а также любой налог, подлежащий начислению на указанную сумму, в качестве компенсации расходов и издержек;</w:t>
      </w:r>
    </w:p>
    <w:p w:rsidR="00234D92" w:rsidRPr="00B86B7E" w:rsidRDefault="0029385A">
      <w:pPr>
        <w:pStyle w:val="a4"/>
        <w:numPr>
          <w:ilvl w:val="2"/>
          <w:numId w:val="4"/>
        </w:numPr>
        <w:tabs>
          <w:tab w:val="left" w:pos="1274"/>
        </w:tabs>
        <w:jc w:val="both"/>
        <w:rPr>
          <w:sz w:val="24"/>
        </w:rPr>
      </w:pPr>
      <w:r w:rsidRPr="00B86B7E">
        <w:rPr>
          <w:sz w:val="24"/>
        </w:rPr>
        <w:t xml:space="preserve">что по истечении вышеупомянутого срока до даты выплаты на указанные суммы будут начисляться простые проценты в размере, равном предельной </w:t>
      </w:r>
      <w:r w:rsidR="001026A9">
        <w:rPr>
          <w:sz w:val="24"/>
        </w:rPr>
        <w:t xml:space="preserve">учетной </w:t>
      </w:r>
      <w:r w:rsidRPr="00B86B7E">
        <w:rPr>
          <w:sz w:val="24"/>
        </w:rPr>
        <w:t>ставке Европейского центрального банка, применяемой в этот период, плюс три процент</w:t>
      </w:r>
      <w:r w:rsidR="001026A9">
        <w:rPr>
          <w:sz w:val="24"/>
        </w:rPr>
        <w:t>ных пункта</w:t>
      </w:r>
      <w:r w:rsidRPr="00B86B7E">
        <w:rPr>
          <w:sz w:val="24"/>
        </w:rPr>
        <w:t>;</w:t>
      </w:r>
    </w:p>
    <w:p w:rsidR="00234D92" w:rsidRPr="00B86B7E" w:rsidRDefault="00234D92">
      <w:pPr>
        <w:pStyle w:val="a3"/>
      </w:pPr>
    </w:p>
    <w:p w:rsidR="00234D92" w:rsidRPr="00B86B7E" w:rsidRDefault="0029385A">
      <w:pPr>
        <w:pStyle w:val="a4"/>
        <w:numPr>
          <w:ilvl w:val="1"/>
          <w:numId w:val="4"/>
        </w:numPr>
        <w:tabs>
          <w:tab w:val="left" w:pos="934"/>
        </w:tabs>
        <w:spacing w:before="90"/>
        <w:ind w:right="0"/>
        <w:rPr>
          <w:sz w:val="24"/>
        </w:rPr>
      </w:pPr>
      <w:r w:rsidRPr="00B86B7E">
        <w:rPr>
          <w:i/>
          <w:iCs/>
          <w:sz w:val="24"/>
        </w:rPr>
        <w:t>отклонил</w:t>
      </w:r>
      <w:r w:rsidRPr="00B86B7E">
        <w:rPr>
          <w:sz w:val="24"/>
        </w:rPr>
        <w:t xml:space="preserve"> требование остальной части ходатайства о справедливом возмещении вреда.</w:t>
      </w:r>
    </w:p>
    <w:p w:rsidR="00234D92" w:rsidRPr="00B86B7E" w:rsidRDefault="00234D92">
      <w:pPr>
        <w:pStyle w:val="a3"/>
        <w:spacing w:before="9"/>
        <w:rPr>
          <w:sz w:val="20"/>
        </w:rPr>
      </w:pPr>
    </w:p>
    <w:p w:rsidR="00234D92" w:rsidRPr="00B86B7E" w:rsidRDefault="001026A9" w:rsidP="0066411A">
      <w:pPr>
        <w:pStyle w:val="a3"/>
        <w:spacing w:before="1"/>
        <w:ind w:left="593" w:right="592" w:firstLine="284"/>
        <w:jc w:val="both"/>
      </w:pPr>
      <w:r>
        <w:t>Составлено</w:t>
      </w:r>
      <w:r w:rsidRPr="00B86B7E">
        <w:t xml:space="preserve"> </w:t>
      </w:r>
      <w:r w:rsidR="0029385A" w:rsidRPr="00B86B7E">
        <w:t>на французском языке, и уведомление о постановлении направлено в письменном виде 16 июня 2020 года в соответствии с пунктами 2 и 3 правила 77 Регламента Суда.</w:t>
      </w:r>
    </w:p>
    <w:p w:rsidR="00234D92" w:rsidRPr="00B86B7E" w:rsidRDefault="00234D92">
      <w:pPr>
        <w:pStyle w:val="a3"/>
        <w:rPr>
          <w:sz w:val="26"/>
        </w:rPr>
      </w:pPr>
    </w:p>
    <w:p w:rsidR="00234D92" w:rsidRPr="00B86B7E" w:rsidRDefault="00234D92">
      <w:pPr>
        <w:pStyle w:val="a3"/>
        <w:spacing w:before="7"/>
        <w:rPr>
          <w:sz w:val="36"/>
        </w:rPr>
      </w:pPr>
    </w:p>
    <w:p w:rsidR="00234D92" w:rsidRPr="00B86B7E" w:rsidRDefault="0029385A">
      <w:pPr>
        <w:pStyle w:val="a3"/>
        <w:tabs>
          <w:tab w:val="left" w:pos="6184"/>
        </w:tabs>
        <w:ind w:left="593"/>
      </w:pPr>
      <w:r w:rsidRPr="00B86B7E">
        <w:t>Ольга Черниш</w:t>
      </w:r>
      <w:r w:rsidR="00A126C0">
        <w:t>е</w:t>
      </w:r>
      <w:r w:rsidRPr="00B86B7E">
        <w:t>ва</w:t>
      </w:r>
      <w:r w:rsidRPr="00B86B7E">
        <w:tab/>
        <w:t>Алина Полачкова</w:t>
      </w:r>
    </w:p>
    <w:p w:rsidR="00234D92" w:rsidRPr="00B86B7E" w:rsidRDefault="0029385A">
      <w:pPr>
        <w:pStyle w:val="a3"/>
        <w:tabs>
          <w:tab w:val="left" w:pos="6554"/>
        </w:tabs>
        <w:ind w:left="593"/>
      </w:pPr>
      <w:r w:rsidRPr="00B86B7E">
        <w:t>Заместитель секретаря</w:t>
      </w:r>
      <w:r w:rsidRPr="00B86B7E">
        <w:tab/>
        <w:t>Председатель</w:t>
      </w:r>
    </w:p>
    <w:sectPr w:rsidR="00234D92" w:rsidRPr="00B86B7E" w:rsidSect="0066411A">
      <w:headerReference w:type="even" r:id="rId13"/>
      <w:headerReference w:type="default" r:id="rId14"/>
      <w:footerReference w:type="even" r:id="rId15"/>
      <w:footerReference w:type="first" r:id="rId16"/>
      <w:pgSz w:w="11910" w:h="16840"/>
      <w:pgMar w:top="1418" w:right="1680" w:bottom="1180" w:left="1680" w:header="1418" w:footer="9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0C4" w:rsidRDefault="00C170C4">
      <w:r>
        <w:separator/>
      </w:r>
    </w:p>
  </w:endnote>
  <w:endnote w:type="continuationSeparator" w:id="0">
    <w:p w:rsidR="00C170C4" w:rsidRDefault="00C1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997020"/>
      <w:docPartObj>
        <w:docPartGallery w:val="Page Numbers (Bottom of Page)"/>
        <w:docPartUnique/>
      </w:docPartObj>
    </w:sdtPr>
    <w:sdtEndPr/>
    <w:sdtContent>
      <w:p w:rsidR="00902284" w:rsidRDefault="00902284" w:rsidP="00DA19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11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007527"/>
      <w:docPartObj>
        <w:docPartGallery w:val="Page Numbers (Bottom of Page)"/>
        <w:docPartUnique/>
      </w:docPartObj>
    </w:sdtPr>
    <w:sdtEndPr/>
    <w:sdtContent>
      <w:p w:rsidR="0003598C" w:rsidRDefault="0003598C" w:rsidP="00DA19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ECF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7679390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902284" w:rsidRPr="00A126C0" w:rsidRDefault="00A126C0" w:rsidP="00A126C0">
        <w:pPr>
          <w:pStyle w:val="a7"/>
          <w:jc w:val="center"/>
          <w:rPr>
            <w:color w:val="FFFFFF" w:themeColor="background1"/>
          </w:rPr>
        </w:pPr>
        <w:r w:rsidRPr="00A126C0">
          <w:rPr>
            <w:color w:val="FFFFFF" w:themeColor="background1"/>
          </w:rPr>
          <w:fldChar w:fldCharType="begin"/>
        </w:r>
        <w:r w:rsidRPr="00A126C0">
          <w:rPr>
            <w:color w:val="FFFFFF" w:themeColor="background1"/>
          </w:rPr>
          <w:instrText>PAGE   \* MERGEFORMAT</w:instrText>
        </w:r>
        <w:r w:rsidRPr="00A126C0">
          <w:rPr>
            <w:color w:val="FFFFFF" w:themeColor="background1"/>
          </w:rPr>
          <w:fldChar w:fldCharType="separate"/>
        </w:r>
        <w:r w:rsidR="004F2ECF">
          <w:rPr>
            <w:noProof/>
            <w:color w:val="FFFFFF" w:themeColor="background1"/>
          </w:rPr>
          <w:t>1</w:t>
        </w:r>
        <w:r w:rsidRPr="00A126C0">
          <w:rPr>
            <w:color w:val="FFFFFF" w:themeColor="background1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067822"/>
      <w:docPartObj>
        <w:docPartGallery w:val="Page Numbers (Bottom of Page)"/>
        <w:docPartUnique/>
      </w:docPartObj>
    </w:sdtPr>
    <w:sdtEndPr/>
    <w:sdtContent>
      <w:p w:rsidR="0066411A" w:rsidRDefault="0066411A" w:rsidP="00DA19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ECF">
          <w:rPr>
            <w:noProof/>
          </w:rP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39439"/>
      <w:docPartObj>
        <w:docPartGallery w:val="Page Numbers (Bottom of Page)"/>
        <w:docPartUnique/>
      </w:docPartObj>
    </w:sdtPr>
    <w:sdtEndPr/>
    <w:sdtContent>
      <w:p w:rsidR="00A126C0" w:rsidRPr="00A126C0" w:rsidRDefault="00A126C0" w:rsidP="00A126C0">
        <w:pPr>
          <w:pStyle w:val="a7"/>
          <w:jc w:val="center"/>
        </w:pPr>
        <w:r w:rsidRPr="00A126C0">
          <w:fldChar w:fldCharType="begin"/>
        </w:r>
        <w:r w:rsidRPr="00A126C0">
          <w:instrText>PAGE   \* MERGEFORMAT</w:instrText>
        </w:r>
        <w:r w:rsidRPr="00A126C0">
          <w:fldChar w:fldCharType="separate"/>
        </w:r>
        <w:r>
          <w:rPr>
            <w:noProof/>
          </w:rPr>
          <w:t>1</w:t>
        </w:r>
        <w:r w:rsidRPr="00A126C0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0C4" w:rsidRDefault="00C170C4">
      <w:r>
        <w:separator/>
      </w:r>
    </w:p>
  </w:footnote>
  <w:footnote w:type="continuationSeparator" w:id="0">
    <w:p w:rsidR="00C170C4" w:rsidRDefault="00C17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92" w:rsidRDefault="004F2EC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3309960" behindDoc="1" locked="0" layoutInCell="1" allowOverlap="1">
              <wp:simplePos x="0" y="0"/>
              <wp:positionH relativeFrom="page">
                <wp:posOffset>1541780</wp:posOffset>
              </wp:positionH>
              <wp:positionV relativeFrom="page">
                <wp:posOffset>407670</wp:posOffset>
              </wp:positionV>
              <wp:extent cx="4558030" cy="180340"/>
              <wp:effectExtent l="0" t="0" r="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80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4D92" w:rsidRDefault="0029385A" w:rsidP="00DA19BB">
                          <w:pPr>
                            <w:spacing w:before="12"/>
                            <w:ind w:left="2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ПОСТАНОВЛЕНИЕ ПО ДЕЛУ «ЗИНЧЕНКО против РОССИИ»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1.4pt;margin-top:32.1pt;width:358.9pt;height:14.2pt;z-index:-6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Xd6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" filled="f" stroked="f">
              <v:textbox inset="0,0,0,0">
                <w:txbxContent>
                  <w:p w:rsidR="00234D92" w:rsidRDefault="0029385A" w:rsidP="00DA19BB">
                    <w:pPr>
                      <w:spacing w:before="12"/>
                      <w:ind w:left="2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ПОСТАНОВЛЕНИЕ ПО ДЕЛУ «ЗИНЧЕНКО против РОССИИ»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92" w:rsidRDefault="004F2EC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1518920</wp:posOffset>
              </wp:positionH>
              <wp:positionV relativeFrom="page">
                <wp:posOffset>557530</wp:posOffset>
              </wp:positionV>
              <wp:extent cx="4617085" cy="274955"/>
              <wp:effectExtent l="444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7085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4D92" w:rsidRDefault="0029385A" w:rsidP="00DA19BB">
                          <w:pPr>
                            <w:spacing w:before="12"/>
                            <w:ind w:left="2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ПОСТАНОВЛЕНИЕ ПО ДЕЛУ «ЗИНЧЕНКО против РОССИИ»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19.6pt;margin-top:43.9pt;width:363.55pt;height:21.65pt;z-index:-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EWdrwIAALA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" filled="f" stroked="f">
              <v:textbox inset="0,0,0,0">
                <w:txbxContent>
                  <w:p w:rsidR="00234D92" w:rsidRDefault="0029385A" w:rsidP="00DA19BB">
                    <w:pPr>
                      <w:spacing w:before="12"/>
                      <w:ind w:left="2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ПОСТАНОВЛЕНИЕ ПО ДЕЛУ «ЗИНЧЕНКО против РОССИИ»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27F5"/>
    <w:multiLevelType w:val="hybridMultilevel"/>
    <w:tmpl w:val="44F4B1BC"/>
    <w:lvl w:ilvl="0" w:tplc="296C6DC4">
      <w:start w:val="1"/>
      <w:numFmt w:val="upperLetter"/>
      <w:lvlText w:val="%1."/>
      <w:lvlJc w:val="left"/>
      <w:pPr>
        <w:ind w:left="1178" w:hanging="35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1" w:tplc="544683DA">
      <w:numFmt w:val="bullet"/>
      <w:lvlText w:val="•"/>
      <w:lvlJc w:val="left"/>
      <w:pPr>
        <w:ind w:left="1916" w:hanging="352"/>
      </w:pPr>
      <w:rPr>
        <w:rFonts w:hint="default"/>
      </w:rPr>
    </w:lvl>
    <w:lvl w:ilvl="2" w:tplc="DCB0F3AA">
      <w:numFmt w:val="bullet"/>
      <w:lvlText w:val="•"/>
      <w:lvlJc w:val="left"/>
      <w:pPr>
        <w:ind w:left="2653" w:hanging="352"/>
      </w:pPr>
      <w:rPr>
        <w:rFonts w:hint="default"/>
      </w:rPr>
    </w:lvl>
    <w:lvl w:ilvl="3" w:tplc="6B3A25AA">
      <w:numFmt w:val="bullet"/>
      <w:lvlText w:val="•"/>
      <w:lvlJc w:val="left"/>
      <w:pPr>
        <w:ind w:left="3389" w:hanging="352"/>
      </w:pPr>
      <w:rPr>
        <w:rFonts w:hint="default"/>
      </w:rPr>
    </w:lvl>
    <w:lvl w:ilvl="4" w:tplc="5B86A2D6">
      <w:numFmt w:val="bullet"/>
      <w:lvlText w:val="•"/>
      <w:lvlJc w:val="left"/>
      <w:pPr>
        <w:ind w:left="4126" w:hanging="352"/>
      </w:pPr>
      <w:rPr>
        <w:rFonts w:hint="default"/>
      </w:rPr>
    </w:lvl>
    <w:lvl w:ilvl="5" w:tplc="9C3E9270">
      <w:numFmt w:val="bullet"/>
      <w:lvlText w:val="•"/>
      <w:lvlJc w:val="left"/>
      <w:pPr>
        <w:ind w:left="4863" w:hanging="352"/>
      </w:pPr>
      <w:rPr>
        <w:rFonts w:hint="default"/>
      </w:rPr>
    </w:lvl>
    <w:lvl w:ilvl="6" w:tplc="57B8970E">
      <w:numFmt w:val="bullet"/>
      <w:lvlText w:val="•"/>
      <w:lvlJc w:val="left"/>
      <w:pPr>
        <w:ind w:left="5599" w:hanging="352"/>
      </w:pPr>
      <w:rPr>
        <w:rFonts w:hint="default"/>
      </w:rPr>
    </w:lvl>
    <w:lvl w:ilvl="7" w:tplc="9250B4C4">
      <w:numFmt w:val="bullet"/>
      <w:lvlText w:val="•"/>
      <w:lvlJc w:val="left"/>
      <w:pPr>
        <w:ind w:left="6336" w:hanging="352"/>
      </w:pPr>
      <w:rPr>
        <w:rFonts w:hint="default"/>
      </w:rPr>
    </w:lvl>
    <w:lvl w:ilvl="8" w:tplc="57CC9AD0">
      <w:numFmt w:val="bullet"/>
      <w:lvlText w:val="•"/>
      <w:lvlJc w:val="left"/>
      <w:pPr>
        <w:ind w:left="7072" w:hanging="352"/>
      </w:pPr>
      <w:rPr>
        <w:rFonts w:hint="default"/>
      </w:rPr>
    </w:lvl>
  </w:abstractNum>
  <w:abstractNum w:abstractNumId="1" w15:restartNumberingAfterBreak="0">
    <w:nsid w:val="4BF133AD"/>
    <w:multiLevelType w:val="hybridMultilevel"/>
    <w:tmpl w:val="40CC5E04"/>
    <w:lvl w:ilvl="0" w:tplc="2D10389E">
      <w:start w:val="1"/>
      <w:numFmt w:val="upperLetter"/>
      <w:lvlText w:val="%1."/>
      <w:lvlJc w:val="left"/>
      <w:pPr>
        <w:ind w:left="1178" w:hanging="35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1" w:tplc="93301E50">
      <w:numFmt w:val="bullet"/>
      <w:lvlText w:val="•"/>
      <w:lvlJc w:val="left"/>
      <w:pPr>
        <w:ind w:left="1916" w:hanging="352"/>
      </w:pPr>
      <w:rPr>
        <w:rFonts w:hint="default"/>
      </w:rPr>
    </w:lvl>
    <w:lvl w:ilvl="2" w:tplc="2C1A4B3A">
      <w:numFmt w:val="bullet"/>
      <w:lvlText w:val="•"/>
      <w:lvlJc w:val="left"/>
      <w:pPr>
        <w:ind w:left="2653" w:hanging="352"/>
      </w:pPr>
      <w:rPr>
        <w:rFonts w:hint="default"/>
      </w:rPr>
    </w:lvl>
    <w:lvl w:ilvl="3" w:tplc="43E89358">
      <w:numFmt w:val="bullet"/>
      <w:lvlText w:val="•"/>
      <w:lvlJc w:val="left"/>
      <w:pPr>
        <w:ind w:left="3389" w:hanging="352"/>
      </w:pPr>
      <w:rPr>
        <w:rFonts w:hint="default"/>
      </w:rPr>
    </w:lvl>
    <w:lvl w:ilvl="4" w:tplc="3F700ECA">
      <w:numFmt w:val="bullet"/>
      <w:lvlText w:val="•"/>
      <w:lvlJc w:val="left"/>
      <w:pPr>
        <w:ind w:left="4126" w:hanging="352"/>
      </w:pPr>
      <w:rPr>
        <w:rFonts w:hint="default"/>
      </w:rPr>
    </w:lvl>
    <w:lvl w:ilvl="5" w:tplc="DE96A4DE">
      <w:numFmt w:val="bullet"/>
      <w:lvlText w:val="•"/>
      <w:lvlJc w:val="left"/>
      <w:pPr>
        <w:ind w:left="4863" w:hanging="352"/>
      </w:pPr>
      <w:rPr>
        <w:rFonts w:hint="default"/>
      </w:rPr>
    </w:lvl>
    <w:lvl w:ilvl="6" w:tplc="5BCAC4A6">
      <w:numFmt w:val="bullet"/>
      <w:lvlText w:val="•"/>
      <w:lvlJc w:val="left"/>
      <w:pPr>
        <w:ind w:left="5599" w:hanging="352"/>
      </w:pPr>
      <w:rPr>
        <w:rFonts w:hint="default"/>
      </w:rPr>
    </w:lvl>
    <w:lvl w:ilvl="7" w:tplc="D1C4017A">
      <w:numFmt w:val="bullet"/>
      <w:lvlText w:val="•"/>
      <w:lvlJc w:val="left"/>
      <w:pPr>
        <w:ind w:left="6336" w:hanging="352"/>
      </w:pPr>
      <w:rPr>
        <w:rFonts w:hint="default"/>
      </w:rPr>
    </w:lvl>
    <w:lvl w:ilvl="8" w:tplc="FAA88468">
      <w:numFmt w:val="bullet"/>
      <w:lvlText w:val="•"/>
      <w:lvlJc w:val="left"/>
      <w:pPr>
        <w:ind w:left="7072" w:hanging="352"/>
      </w:pPr>
      <w:rPr>
        <w:rFonts w:hint="default"/>
      </w:rPr>
    </w:lvl>
  </w:abstractNum>
  <w:abstractNum w:abstractNumId="2" w15:restartNumberingAfterBreak="0">
    <w:nsid w:val="542029C9"/>
    <w:multiLevelType w:val="hybridMultilevel"/>
    <w:tmpl w:val="761693CC"/>
    <w:lvl w:ilvl="0" w:tplc="669E3CA2">
      <w:start w:val="1"/>
      <w:numFmt w:val="upperRoman"/>
      <w:lvlText w:val="%1."/>
      <w:lvlJc w:val="left"/>
      <w:pPr>
        <w:ind w:left="951" w:hanging="311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1" w:tplc="98A69538">
      <w:start w:val="1"/>
      <w:numFmt w:val="decimal"/>
      <w:lvlText w:val="%2."/>
      <w:lvlJc w:val="left"/>
      <w:pPr>
        <w:ind w:left="934" w:hanging="340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</w:rPr>
    </w:lvl>
    <w:lvl w:ilvl="2" w:tplc="F640A780">
      <w:start w:val="1"/>
      <w:numFmt w:val="lowerLetter"/>
      <w:lvlText w:val="%3)"/>
      <w:lvlJc w:val="left"/>
      <w:pPr>
        <w:ind w:left="1274" w:hanging="340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</w:rPr>
    </w:lvl>
    <w:lvl w:ilvl="3" w:tplc="8C82014C">
      <w:start w:val="1"/>
      <w:numFmt w:val="lowerRoman"/>
      <w:lvlText w:val="%4."/>
      <w:lvlJc w:val="left"/>
      <w:pPr>
        <w:ind w:left="1728" w:hanging="45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4" w:tplc="3362C8A4">
      <w:numFmt w:val="bullet"/>
      <w:lvlText w:val="•"/>
      <w:lvlJc w:val="left"/>
      <w:pPr>
        <w:ind w:left="2695" w:hanging="454"/>
      </w:pPr>
      <w:rPr>
        <w:rFonts w:hint="default"/>
      </w:rPr>
    </w:lvl>
    <w:lvl w:ilvl="5" w:tplc="CEE25762">
      <w:numFmt w:val="bullet"/>
      <w:lvlText w:val="•"/>
      <w:lvlJc w:val="left"/>
      <w:pPr>
        <w:ind w:left="3670" w:hanging="454"/>
      </w:pPr>
      <w:rPr>
        <w:rFonts w:hint="default"/>
      </w:rPr>
    </w:lvl>
    <w:lvl w:ilvl="6" w:tplc="C18C9A42">
      <w:numFmt w:val="bullet"/>
      <w:lvlText w:val="•"/>
      <w:lvlJc w:val="left"/>
      <w:pPr>
        <w:ind w:left="4645" w:hanging="454"/>
      </w:pPr>
      <w:rPr>
        <w:rFonts w:hint="default"/>
      </w:rPr>
    </w:lvl>
    <w:lvl w:ilvl="7" w:tplc="500063FE">
      <w:numFmt w:val="bullet"/>
      <w:lvlText w:val="•"/>
      <w:lvlJc w:val="left"/>
      <w:pPr>
        <w:ind w:left="5620" w:hanging="454"/>
      </w:pPr>
      <w:rPr>
        <w:rFonts w:hint="default"/>
      </w:rPr>
    </w:lvl>
    <w:lvl w:ilvl="8" w:tplc="6E400E8E">
      <w:numFmt w:val="bullet"/>
      <w:lvlText w:val="•"/>
      <w:lvlJc w:val="left"/>
      <w:pPr>
        <w:ind w:left="6595" w:hanging="454"/>
      </w:pPr>
      <w:rPr>
        <w:rFonts w:hint="default"/>
      </w:rPr>
    </w:lvl>
  </w:abstractNum>
  <w:abstractNum w:abstractNumId="3" w15:restartNumberingAfterBreak="0">
    <w:nsid w:val="570D60E0"/>
    <w:multiLevelType w:val="hybridMultilevel"/>
    <w:tmpl w:val="8BD0263E"/>
    <w:lvl w:ilvl="0" w:tplc="8A321DE0">
      <w:start w:val="1"/>
      <w:numFmt w:val="decimal"/>
      <w:lvlText w:val="%1."/>
      <w:lvlJc w:val="left"/>
      <w:pPr>
        <w:ind w:left="594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8CE6CF1E">
      <w:numFmt w:val="bullet"/>
      <w:lvlText w:val="•"/>
      <w:lvlJc w:val="left"/>
      <w:pPr>
        <w:ind w:left="1020" w:hanging="300"/>
      </w:pPr>
      <w:rPr>
        <w:rFonts w:hint="default"/>
      </w:rPr>
    </w:lvl>
    <w:lvl w:ilvl="2" w:tplc="576C5918">
      <w:numFmt w:val="bullet"/>
      <w:lvlText w:val="•"/>
      <w:lvlJc w:val="left"/>
      <w:pPr>
        <w:ind w:left="1856" w:hanging="300"/>
      </w:pPr>
      <w:rPr>
        <w:rFonts w:hint="default"/>
      </w:rPr>
    </w:lvl>
    <w:lvl w:ilvl="3" w:tplc="47F4AFD4">
      <w:numFmt w:val="bullet"/>
      <w:lvlText w:val="•"/>
      <w:lvlJc w:val="left"/>
      <w:pPr>
        <w:ind w:left="2692" w:hanging="300"/>
      </w:pPr>
      <w:rPr>
        <w:rFonts w:hint="default"/>
      </w:rPr>
    </w:lvl>
    <w:lvl w:ilvl="4" w:tplc="D794F406">
      <w:numFmt w:val="bullet"/>
      <w:lvlText w:val="•"/>
      <w:lvlJc w:val="left"/>
      <w:pPr>
        <w:ind w:left="3528" w:hanging="300"/>
      </w:pPr>
      <w:rPr>
        <w:rFonts w:hint="default"/>
      </w:rPr>
    </w:lvl>
    <w:lvl w:ilvl="5" w:tplc="555E48C8">
      <w:numFmt w:val="bullet"/>
      <w:lvlText w:val="•"/>
      <w:lvlJc w:val="left"/>
      <w:pPr>
        <w:ind w:left="4364" w:hanging="300"/>
      </w:pPr>
      <w:rPr>
        <w:rFonts w:hint="default"/>
      </w:rPr>
    </w:lvl>
    <w:lvl w:ilvl="6" w:tplc="960E2F7E">
      <w:numFmt w:val="bullet"/>
      <w:lvlText w:val="•"/>
      <w:lvlJc w:val="left"/>
      <w:pPr>
        <w:ind w:left="5201" w:hanging="300"/>
      </w:pPr>
      <w:rPr>
        <w:rFonts w:hint="default"/>
      </w:rPr>
    </w:lvl>
    <w:lvl w:ilvl="7" w:tplc="522E209E">
      <w:numFmt w:val="bullet"/>
      <w:lvlText w:val="•"/>
      <w:lvlJc w:val="left"/>
      <w:pPr>
        <w:ind w:left="6037" w:hanging="300"/>
      </w:pPr>
      <w:rPr>
        <w:rFonts w:hint="default"/>
      </w:rPr>
    </w:lvl>
    <w:lvl w:ilvl="8" w:tplc="B622B79A">
      <w:numFmt w:val="bullet"/>
      <w:lvlText w:val="•"/>
      <w:lvlJc w:val="left"/>
      <w:pPr>
        <w:ind w:left="6873" w:hanging="300"/>
      </w:pPr>
      <w:rPr>
        <w:rFonts w:hint="default"/>
      </w:rPr>
    </w:lvl>
  </w:abstractNum>
  <w:abstractNum w:abstractNumId="4" w15:restartNumberingAfterBreak="0">
    <w:nsid w:val="6631305B"/>
    <w:multiLevelType w:val="hybridMultilevel"/>
    <w:tmpl w:val="BDB69F3E"/>
    <w:lvl w:ilvl="0" w:tplc="80CA2E94">
      <w:start w:val="1"/>
      <w:numFmt w:val="lowerLetter"/>
      <w:lvlText w:val="%1)"/>
      <w:lvlJc w:val="left"/>
      <w:pPr>
        <w:ind w:left="1019" w:hanging="25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6832E32A">
      <w:numFmt w:val="bullet"/>
      <w:lvlText w:val="•"/>
      <w:lvlJc w:val="left"/>
      <w:pPr>
        <w:ind w:left="1772" w:hanging="256"/>
      </w:pPr>
      <w:rPr>
        <w:rFonts w:hint="default"/>
      </w:rPr>
    </w:lvl>
    <w:lvl w:ilvl="2" w:tplc="72A48284">
      <w:numFmt w:val="bullet"/>
      <w:lvlText w:val="•"/>
      <w:lvlJc w:val="left"/>
      <w:pPr>
        <w:ind w:left="2525" w:hanging="256"/>
      </w:pPr>
      <w:rPr>
        <w:rFonts w:hint="default"/>
      </w:rPr>
    </w:lvl>
    <w:lvl w:ilvl="3" w:tplc="A6300B32">
      <w:numFmt w:val="bullet"/>
      <w:lvlText w:val="•"/>
      <w:lvlJc w:val="left"/>
      <w:pPr>
        <w:ind w:left="3277" w:hanging="256"/>
      </w:pPr>
      <w:rPr>
        <w:rFonts w:hint="default"/>
      </w:rPr>
    </w:lvl>
    <w:lvl w:ilvl="4" w:tplc="FC841BFE">
      <w:numFmt w:val="bullet"/>
      <w:lvlText w:val="•"/>
      <w:lvlJc w:val="left"/>
      <w:pPr>
        <w:ind w:left="4030" w:hanging="256"/>
      </w:pPr>
      <w:rPr>
        <w:rFonts w:hint="default"/>
      </w:rPr>
    </w:lvl>
    <w:lvl w:ilvl="5" w:tplc="50A8CE30">
      <w:numFmt w:val="bullet"/>
      <w:lvlText w:val="•"/>
      <w:lvlJc w:val="left"/>
      <w:pPr>
        <w:ind w:left="4783" w:hanging="256"/>
      </w:pPr>
      <w:rPr>
        <w:rFonts w:hint="default"/>
      </w:rPr>
    </w:lvl>
    <w:lvl w:ilvl="6" w:tplc="C0E0C574">
      <w:numFmt w:val="bullet"/>
      <w:lvlText w:val="•"/>
      <w:lvlJc w:val="left"/>
      <w:pPr>
        <w:ind w:left="5535" w:hanging="256"/>
      </w:pPr>
      <w:rPr>
        <w:rFonts w:hint="default"/>
      </w:rPr>
    </w:lvl>
    <w:lvl w:ilvl="7" w:tplc="8A00CA6E">
      <w:numFmt w:val="bullet"/>
      <w:lvlText w:val="•"/>
      <w:lvlJc w:val="left"/>
      <w:pPr>
        <w:ind w:left="6288" w:hanging="256"/>
      </w:pPr>
      <w:rPr>
        <w:rFonts w:hint="default"/>
      </w:rPr>
    </w:lvl>
    <w:lvl w:ilvl="8" w:tplc="679AE660">
      <w:numFmt w:val="bullet"/>
      <w:lvlText w:val="•"/>
      <w:lvlJc w:val="left"/>
      <w:pPr>
        <w:ind w:left="7040" w:hanging="25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92"/>
    <w:rsid w:val="0003598C"/>
    <w:rsid w:val="00040569"/>
    <w:rsid w:val="001026A9"/>
    <w:rsid w:val="00234D92"/>
    <w:rsid w:val="0029385A"/>
    <w:rsid w:val="002D4C93"/>
    <w:rsid w:val="003700AC"/>
    <w:rsid w:val="003C3A52"/>
    <w:rsid w:val="004F2ECF"/>
    <w:rsid w:val="005074A9"/>
    <w:rsid w:val="005340E0"/>
    <w:rsid w:val="00546C68"/>
    <w:rsid w:val="00626FDE"/>
    <w:rsid w:val="00663E41"/>
    <w:rsid w:val="0066411A"/>
    <w:rsid w:val="006F05AD"/>
    <w:rsid w:val="0072254A"/>
    <w:rsid w:val="00775FFA"/>
    <w:rsid w:val="00844F72"/>
    <w:rsid w:val="008D1FB5"/>
    <w:rsid w:val="00902284"/>
    <w:rsid w:val="009351B5"/>
    <w:rsid w:val="00941106"/>
    <w:rsid w:val="00A126C0"/>
    <w:rsid w:val="00A4525F"/>
    <w:rsid w:val="00A474F5"/>
    <w:rsid w:val="00B86B7E"/>
    <w:rsid w:val="00BD0831"/>
    <w:rsid w:val="00C170C4"/>
    <w:rsid w:val="00DA19BB"/>
    <w:rsid w:val="00DF2ED8"/>
    <w:rsid w:val="00E2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0D17D2-91A5-4DC5-944F-633DE85E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178" w:hanging="35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4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26F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6FD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626F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6FDE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5F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FFA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semiHidden/>
    <w:rsid w:val="00775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hr.coe.int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1883</Words>
  <Characters>10739</Characters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2021-01-13T11:27:00Z</dcterms:created>
  <dcterms:modified xsi:type="dcterms:W3CDTF">2021-01-13T11:27:00Z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2020-06-16T00:00:00Z</vt:filetime>
  </property>
</Properties>
</file>