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97949" w14:textId="77777777" w:rsidR="00753F09" w:rsidRDefault="00000000">
      <w:pPr>
        <w:spacing w:line="240" w:lineRule="exact"/>
        <w:ind w:left="4111" w:right="-2"/>
        <w:jc w:val="both"/>
        <w:rPr>
          <w:rFonts w:ascii="Times New Roman" w:hAnsi="Times New Roman"/>
          <w:i/>
        </w:rPr>
      </w:pPr>
      <w:bookmarkStart w:id="0" w:name="_Hlk137035941"/>
      <w:bookmarkStart w:id="1" w:name="_Hlk80698511"/>
      <w:r>
        <w:rPr>
          <w:rFonts w:ascii="Times New Roman" w:hAnsi="Times New Roman"/>
        </w:rPr>
        <w:t xml:space="preserve">Выступление Генерального прокурора Российской Федерации </w:t>
      </w:r>
      <w:r>
        <w:rPr>
          <w:rFonts w:ascii="Times New Roman" w:hAnsi="Times New Roman"/>
          <w:b/>
        </w:rPr>
        <w:t>«О практике борьбы с коррупцией, актуальные проблемы и пути их решения</w:t>
      </w:r>
      <w:r>
        <w:rPr>
          <w:rFonts w:ascii="Times New Roman" w:hAnsi="Times New Roman"/>
          <w:b/>
          <w:i/>
        </w:rPr>
        <w:t>»</w:t>
      </w:r>
    </w:p>
    <w:p w14:paraId="7ABE87E9" w14:textId="77777777" w:rsidR="00753F09" w:rsidRDefault="00000000">
      <w:pPr>
        <w:spacing w:line="240" w:lineRule="exact"/>
        <w:ind w:left="4111" w:right="-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(Душанбе, 19 сентября 2024 г.)</w:t>
      </w:r>
    </w:p>
    <w:bookmarkEnd w:id="0"/>
    <w:bookmarkEnd w:id="1"/>
    <w:p w14:paraId="7A70DDCB" w14:textId="77777777" w:rsidR="00753F09" w:rsidRDefault="00753F09">
      <w:pPr>
        <w:spacing w:line="240" w:lineRule="exact"/>
        <w:jc w:val="center"/>
        <w:rPr>
          <w:b/>
          <w:sz w:val="48"/>
        </w:rPr>
      </w:pPr>
    </w:p>
    <w:p w14:paraId="56F9AC8E" w14:textId="77777777" w:rsidR="00753F09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Уважаемый </w:t>
      </w:r>
      <w:proofErr w:type="spellStart"/>
      <w:r>
        <w:rPr>
          <w:rFonts w:ascii="Times New Roman" w:hAnsi="Times New Roman"/>
          <w:b/>
          <w:sz w:val="28"/>
        </w:rPr>
        <w:t>Сулаймон</w:t>
      </w:r>
      <w:proofErr w:type="spellEnd"/>
      <w:r>
        <w:rPr>
          <w:rFonts w:ascii="Times New Roman" w:hAnsi="Times New Roman"/>
          <w:b/>
          <w:sz w:val="28"/>
        </w:rPr>
        <w:t xml:space="preserve"> Саид!</w:t>
      </w:r>
    </w:p>
    <w:p w14:paraId="435DAE82" w14:textId="77777777" w:rsidR="00753F09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Уважаемые члены Совета, участники заседания!</w:t>
      </w:r>
    </w:p>
    <w:p w14:paraId="7BFC92C8" w14:textId="77777777" w:rsidR="00753F09" w:rsidRDefault="00753F09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2397EF87" w14:textId="77777777" w:rsidR="00753F09" w:rsidRDefault="00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современном мире с учетом стремительного роста криминального оборота информационных технологий противодействие коррупции требует непрерывной </w:t>
      </w:r>
      <w:proofErr w:type="spellStart"/>
      <w:r>
        <w:rPr>
          <w:rFonts w:ascii="Times New Roman" w:hAnsi="Times New Roman"/>
          <w:sz w:val="28"/>
        </w:rPr>
        <w:t>донастройки</w:t>
      </w:r>
      <w:proofErr w:type="spellEnd"/>
      <w:r>
        <w:rPr>
          <w:rFonts w:ascii="Times New Roman" w:hAnsi="Times New Roman"/>
          <w:sz w:val="28"/>
        </w:rPr>
        <w:t xml:space="preserve"> архитектуры национальной и глобальной безопасности. </w:t>
      </w:r>
    </w:p>
    <w:p w14:paraId="16CCE50A" w14:textId="77777777" w:rsidR="00753F09" w:rsidRDefault="00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одной стороны, правоохранительные органы непрерывно совершенствуют свою техническую оснащенность и потенциал для борьбы с коррупцией, с другой – цифровая среда становится все более привлекательной для коррупционеров. </w:t>
      </w:r>
    </w:p>
    <w:p w14:paraId="4D7B5FB0" w14:textId="77777777" w:rsidR="00753F09" w:rsidRDefault="00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Однако, как гласит восточная поговорка, «нет такой хитрости, которую нельзя перехитрить». И в этом смысле наше сотрудничество – прекрасная возможность обменяться опытом, расширить его горизонты путем применения наиболее эффективных и передовых антикоррупционных механизмов. </w:t>
      </w:r>
    </w:p>
    <w:p w14:paraId="1112BF7A" w14:textId="77777777" w:rsidR="00753F09" w:rsidRDefault="00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Среди них – цифровая трансформация правоохранительной и надзорной работы. В прокуратуре России продолжает увеличиваться число доступных электронных источников, посредством которых возможно установить и изобличить вовлеченных в коррупционные схемы чиновников. </w:t>
      </w:r>
    </w:p>
    <w:p w14:paraId="17486B50" w14:textId="77777777" w:rsidR="00753F09" w:rsidRDefault="00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наиболее востребованных ресурсов является информационная система межведомственного электронного взаимодействия. Она обеспечивает прокурорам круглосуточный доступ к более чем 100 видам государственных баз данных, их перечень и наполнение постоянно растут.</w:t>
      </w:r>
    </w:p>
    <w:p w14:paraId="5049942F" w14:textId="77777777" w:rsidR="00753F09" w:rsidRDefault="00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 система позволяет прокурорам, что называется, не выходя из кабинета, получать практически любую информацию о проверяемых лицах. В частности, о наличии у них счетов в кредитных учреждениях, полученных доходах, имеющемся в пользовании недвижимом имуществе, транспортных средствах, совершенных административных правонарушениях и множество других сведений.</w:t>
      </w:r>
    </w:p>
    <w:p w14:paraId="31C6AACA" w14:textId="77777777" w:rsidR="00753F09" w:rsidRDefault="00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Например, в прошлом году с помощью данного ресурса выявлен факт укрытия государственным служащим цифровых валют на сумму 28 млн рублей. Возможности системы позволили также установить у него наличие недвижимости, ипотека по которой была погашена на неподтвержденные доходы. Кроме того, прокуроры получили сведения о привлечении чиновника к административной ответственности за нарушение правил парковки автомобиля бизнес-класса, который официально в его собственности не находился. Машина была зарегистрирована на его сестру, хотя доход последней, очевидно, не позволял приобрести столь дорогое транспортное средство. </w:t>
      </w:r>
    </w:p>
    <w:p w14:paraId="2D92C773" w14:textId="77777777" w:rsidR="00753F09" w:rsidRDefault="00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иску прокурора судом все незадекларированные активы госслужащего в сумме почти 60 млн рублей обращены в доход государства. </w:t>
      </w:r>
    </w:p>
    <w:p w14:paraId="72FA45DD" w14:textId="77777777" w:rsidR="00753F09" w:rsidRDefault="00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Сформировать практику обнаружения виртуальных активов коррупционного происхождения и определения их принадлежности невозможно без умелого использования прокурорами информационных технологий, для чего наши работники непрерывно повышают свои цифровые компетенции. </w:t>
      </w:r>
    </w:p>
    <w:p w14:paraId="06572D3E" w14:textId="77777777" w:rsidR="00753F09" w:rsidRDefault="00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этих целях в нашем ведомственном Университете введены специальные дисциплины – правовые и организационные основы информационной безопасности, противодействие таким современным угрозам и многие другие. </w:t>
      </w:r>
    </w:p>
    <w:p w14:paraId="596F6409" w14:textId="77777777" w:rsidR="00753F09" w:rsidRDefault="00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Предлагаю членам Совета в рамках нашего объединения обобщить практику проведения проверок вне уголовного судопроизводства, связанных с обнаружением у чиновников виртуальных активов коррупционного происхождения, использования для этого современных информационных технологий. Передовой опыт по данному направлению работы распространить среди участников Совета.</w:t>
      </w:r>
    </w:p>
    <w:p w14:paraId="215D962C" w14:textId="77777777" w:rsidR="00753F09" w:rsidRDefault="00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целом в России продолжает совершенствоваться правоприменение в сфере противодействия коррупции, в том числе в части использования достаточно новых, но уже доказавших свою эффективность полномочий прокуроров по проверке обоснованности происхождения денежных средств чиновников и членов их семей, находящихся на их банковских счетах. </w:t>
      </w:r>
    </w:p>
    <w:p w14:paraId="1E56D4DA" w14:textId="77777777" w:rsidR="00753F09" w:rsidRDefault="00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в первый год действия соответствующей нормы в суды направлены иски о взыскании в пользу государства неподтвержденных доходов на сумму 90 млн рублей, то за 6 месяцев текущего года эта сумма уже превысила 420 млн рублей. </w:t>
      </w:r>
    </w:p>
    <w:p w14:paraId="043071E3" w14:textId="77777777" w:rsidR="00753F09" w:rsidRDefault="00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прошлом заседании я упомянул и о принятии в 2023 году по инициативе Генпрокуратуры России закона, который наделил прокуроров компетенцией через суд добиваться изменения оснований увольнения чиновников. Имею в виду тех, которые ушли со службы по собственному желанию, хотя фактически были вынуждены это сделать в связи с допущенными коррупционными нарушениями. </w:t>
      </w:r>
    </w:p>
    <w:p w14:paraId="518DB7E7" w14:textId="77777777" w:rsidR="00753F09" w:rsidRDefault="00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в первом полугодии мы направили в суды свыше сотни таких заявлений. Более половины уже рассмотрены и удовлетворены.</w:t>
      </w:r>
    </w:p>
    <w:p w14:paraId="44D4F9BA" w14:textId="77777777" w:rsidR="00753F09" w:rsidRDefault="00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Это, безусловно, влечет негативные последствия для должностных лиц, поскольку в их трудовых документах появляется запись – «уволен в связи с утратой доверия». Как следствие, они включаются в соответствующий публичный реестр, буквально заносятся на «доску позора».</w:t>
      </w:r>
    </w:p>
    <w:p w14:paraId="397D221F" w14:textId="77777777" w:rsidR="00753F09" w:rsidRDefault="00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слову, идея применения подобных механизмов, схожих с так называемой «кредитной историей» чиновника, в России не нова. Еще в середине XIX века Император Александр Второй, став основоположником системы контроля имущественного положения государственных служащих, ввел ведомственные книги гражданских чинов. В них вносилась информация об объявленных взысканиях, а также иные сведения, характеризующие материальное положение лиц, замещающих соответствующие должности.</w:t>
      </w:r>
    </w:p>
    <w:p w14:paraId="1092D907" w14:textId="77777777" w:rsidR="00753F09" w:rsidRDefault="00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Сегодня подобный реестр – дополнительный барьер, препятствующий прохождению государственной службы лицами, которые не обладают необходимым набором морально-деловых качеств. </w:t>
      </w:r>
    </w:p>
    <w:p w14:paraId="6C9CAC3E" w14:textId="77777777" w:rsidR="00753F09" w:rsidRDefault="00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России продолжает развиваться и институт привлечения к ответственности за коррупционные нарушения юридических лиц.</w:t>
      </w:r>
    </w:p>
    <w:p w14:paraId="5188CA65" w14:textId="77777777" w:rsidR="00753F09" w:rsidRDefault="00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за незаконную передачу денежного вознаграждения от имени или в интересах компаний в первом полугодии прокурорами возбуждено более 300 дел об административных правонарушениях, а сумма взысканных штрафов составила почти 370 млн рублей.</w:t>
      </w:r>
    </w:p>
    <w:p w14:paraId="07C978E9" w14:textId="77777777" w:rsidR="00753F09" w:rsidRDefault="00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Учитывая, что между странами СНГ продолжают активно укрепляться финансово-экономические связи, считаю важным принимать совместные усилия для снижения рисков коррупционного поведения со стороны недобросовестных участников рынка и при осуществлении международных коммерческих сделок.</w:t>
      </w:r>
    </w:p>
    <w:p w14:paraId="57302B8E" w14:textId="77777777" w:rsidR="00753F09" w:rsidRDefault="00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Такой положительный опыт у нас имеется с Генеральной прокуратурой Республики Беларусь, которая информирует нас о даче взяток российскими </w:t>
      </w:r>
      <w:r>
        <w:rPr>
          <w:rFonts w:ascii="Times New Roman" w:hAnsi="Times New Roman"/>
          <w:sz w:val="28"/>
        </w:rPr>
        <w:lastRenderedPageBreak/>
        <w:t xml:space="preserve">предпринимателями белорусским должностным лицам. Мы, в свою очередь, реагируем в соответствии с российским законодательством. </w:t>
      </w:r>
    </w:p>
    <w:p w14:paraId="6E03C72B" w14:textId="77777777" w:rsidR="00753F09" w:rsidRDefault="00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нами по таким фактам возбуждены дела об административных правонарушениях в отношении организаций, которые привлечены к ответственности. Есть материалы, работа по которым продолжается.</w:t>
      </w:r>
    </w:p>
    <w:p w14:paraId="21FC9BA2" w14:textId="77777777" w:rsidR="00753F09" w:rsidRDefault="00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Примеры такого сотрудничества – демонстрация реальной антикоррупционной работы по пресечению трансграничной коррупции. Убежден, подобную практику следует активно развивать между компетентными органами наших стран. </w:t>
      </w:r>
    </w:p>
    <w:p w14:paraId="72EB559D" w14:textId="77777777" w:rsidR="00753F09" w:rsidRDefault="00753F09">
      <w:pPr>
        <w:widowControl w:val="0"/>
        <w:ind w:firstLine="567"/>
        <w:jc w:val="center"/>
        <w:rPr>
          <w:rFonts w:ascii="Times New Roman" w:hAnsi="Times New Roman"/>
          <w:b/>
          <w:sz w:val="28"/>
        </w:rPr>
      </w:pPr>
    </w:p>
    <w:p w14:paraId="494057FA" w14:textId="77777777" w:rsidR="00753F09" w:rsidRDefault="00000000">
      <w:pPr>
        <w:widowControl w:val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Уважаемые коллеги! </w:t>
      </w:r>
    </w:p>
    <w:p w14:paraId="447BFA0C" w14:textId="77777777" w:rsidR="00753F09" w:rsidRDefault="00753F09">
      <w:pPr>
        <w:widowControl w:val="0"/>
        <w:ind w:firstLine="567"/>
        <w:jc w:val="center"/>
        <w:rPr>
          <w:rFonts w:ascii="Times New Roman" w:hAnsi="Times New Roman"/>
          <w:b/>
          <w:sz w:val="28"/>
        </w:rPr>
      </w:pPr>
    </w:p>
    <w:p w14:paraId="63346B3C" w14:textId="77777777" w:rsidR="00753F09" w:rsidRDefault="00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мы все увидели в ходе текущего заседания, потенциал антикоррупционных ведомств, входящих в Межгосударственный Совет, огромен. Нам есть, чем делиться, обмениваться опытом, внедрять лучшие практики в свою собственную работу. </w:t>
      </w:r>
    </w:p>
    <w:p w14:paraId="6D02C492" w14:textId="77777777" w:rsidR="00753F09" w:rsidRDefault="00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прокуратура открыта к сотрудничеству. Убежден, что сегодняшнее обсуждение позволит выработать дополнительные механизмы взаимодействия в сфере противодействия коррупции, эффективно ей противостоять. Ведь, как справедливо гласит таджикская мудрость, «одной рукой узел не завяжешь». В нашем случае это означает, что только совместными усилиями мы можем добиться значимых результатов.</w:t>
      </w:r>
    </w:p>
    <w:p w14:paraId="1E3C04D6" w14:textId="77777777" w:rsidR="00753F09" w:rsidRDefault="00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Желаю всем плодотворной работы на этом треке.</w:t>
      </w:r>
    </w:p>
    <w:p w14:paraId="7F923984" w14:textId="77777777" w:rsidR="00753F09" w:rsidRDefault="00753F09">
      <w:pPr>
        <w:widowControl w:val="0"/>
        <w:ind w:firstLine="709"/>
        <w:jc w:val="both"/>
        <w:rPr>
          <w:rFonts w:ascii="Times New Roman" w:hAnsi="Times New Roman"/>
          <w:b/>
          <w:sz w:val="28"/>
        </w:rPr>
      </w:pPr>
    </w:p>
    <w:p w14:paraId="27B56A80" w14:textId="77777777" w:rsidR="00753F09" w:rsidRDefault="00000000">
      <w:pPr>
        <w:widowControl w:val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Благодарю за внимание!</w:t>
      </w:r>
    </w:p>
    <w:sectPr w:rsidR="00753F09">
      <w:headerReference w:type="default" r:id="rId6"/>
      <w:pgSz w:w="11906" w:h="16838" w:code="9"/>
      <w:pgMar w:top="567" w:right="424" w:bottom="709" w:left="993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9ED62" w14:textId="77777777" w:rsidR="002225E0" w:rsidRDefault="002225E0">
      <w:r>
        <w:separator/>
      </w:r>
    </w:p>
  </w:endnote>
  <w:endnote w:type="continuationSeparator" w:id="0">
    <w:p w14:paraId="30893836" w14:textId="77777777" w:rsidR="002225E0" w:rsidRDefault="0022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F7585" w14:textId="77777777" w:rsidR="002225E0" w:rsidRDefault="002225E0">
      <w:r>
        <w:separator/>
      </w:r>
    </w:p>
  </w:footnote>
  <w:footnote w:type="continuationSeparator" w:id="0">
    <w:p w14:paraId="2A7F9145" w14:textId="77777777" w:rsidR="002225E0" w:rsidRDefault="0022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F884" w14:textId="77777777" w:rsidR="00753F09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>#</w:t>
    </w:r>
    <w:r>
      <w:fldChar w:fldCharType="end"/>
    </w:r>
  </w:p>
  <w:p w14:paraId="7E9B87BD" w14:textId="77777777" w:rsidR="00753F09" w:rsidRDefault="00753F09">
    <w:pPr>
      <w:pStyle w:val="a5"/>
      <w:jc w:val="center"/>
    </w:pPr>
  </w:p>
  <w:p w14:paraId="2FB348CF" w14:textId="77777777" w:rsidR="00753F09" w:rsidRDefault="00753F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09"/>
    <w:rsid w:val="000C2B9C"/>
    <w:rsid w:val="002225E0"/>
    <w:rsid w:val="00753F09"/>
    <w:rsid w:val="00F3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14D7"/>
  <w15:docId w15:val="{0D156F5E-D39C-467C-B84D-0FBC841A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next w:val="a"/>
    <w:link w:val="22"/>
    <w:pPr>
      <w:ind w:left="200"/>
    </w:pPr>
    <w:rPr>
      <w:rFonts w:ascii="XO Thames" w:hAnsi="XO Thames"/>
      <w:sz w:val="28"/>
    </w:rPr>
  </w:style>
  <w:style w:type="paragraph" w:styleId="41">
    <w:name w:val="toc 4"/>
    <w:next w:val="a"/>
    <w:link w:val="42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link w:val="60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link w:val="70"/>
    <w:pPr>
      <w:ind w:left="1200"/>
    </w:pPr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2"/>
    </w:rPr>
  </w:style>
  <w:style w:type="paragraph" w:styleId="31">
    <w:name w:val="toc 3"/>
    <w:next w:val="a"/>
    <w:link w:val="32"/>
    <w:pPr>
      <w:ind w:left="400"/>
    </w:pPr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="150"/>
    </w:pPr>
    <w:rPr>
      <w:rFonts w:ascii="Journal" w:hAnsi="Journal"/>
      <w:sz w:val="1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paragraph" w:styleId="13">
    <w:name w:val="toc 1"/>
    <w:next w:val="a"/>
    <w:link w:val="14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</w:style>
  <w:style w:type="paragraph" w:customStyle="1" w:styleId="HeaderandFooter0">
    <w:name w:val="Header and Footer"/>
    <w:link w:val="HeaderandFooter"/>
    <w:pPr>
      <w:jc w:val="both"/>
    </w:pPr>
    <w:rPr>
      <w:rFonts w:ascii="XO Thames" w:hAnsi="XO Thames"/>
    </w:rPr>
  </w:style>
  <w:style w:type="paragraph" w:styleId="9">
    <w:name w:val="toc 9"/>
    <w:next w:val="a"/>
    <w:link w:val="90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link w:val="80"/>
    <w:pPr>
      <w:ind w:left="1400"/>
    </w:pPr>
    <w:rPr>
      <w:rFonts w:ascii="XO Thames" w:hAnsi="XO Thames"/>
      <w:sz w:val="28"/>
    </w:rPr>
  </w:style>
  <w:style w:type="paragraph" w:styleId="51">
    <w:name w:val="toc 5"/>
    <w:next w:val="a"/>
    <w:link w:val="52"/>
    <w:pPr>
      <w:ind w:left="800"/>
    </w:pPr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">
    <w:name w:val="Обычный1"/>
  </w:style>
  <w:style w:type="character" w:styleId="af0">
    <w:name w:val="line number"/>
    <w:basedOn w:val="1"/>
    <w:semiHidden/>
  </w:style>
  <w:style w:type="character" w:styleId="a9">
    <w:name w:val="Hyperlink"/>
    <w:link w:val="12"/>
    <w:rPr>
      <w:color w:val="0000FF"/>
      <w:u w:val="single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a4">
    <w:name w:val="Нижний колонтитул Знак"/>
    <w:basedOn w:val="1"/>
    <w:link w:val="a3"/>
  </w:style>
  <w:style w:type="character" w:customStyle="1" w:styleId="a6">
    <w:name w:val="Верхний колонтитул Знак"/>
    <w:basedOn w:val="1"/>
    <w:link w:val="a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a8">
    <w:name w:val="Обычный (Интернет) Знак"/>
    <w:basedOn w:val="1"/>
    <w:link w:val="a7"/>
    <w:rPr>
      <w:rFonts w:ascii="Journal" w:hAnsi="Journal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16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Карнажицкий</dc:creator>
  <cp:lastModifiedBy>Дмитрий Карнажицкий</cp:lastModifiedBy>
  <cp:revision>2</cp:revision>
  <dcterms:created xsi:type="dcterms:W3CDTF">2024-09-19T07:51:00Z</dcterms:created>
  <dcterms:modified xsi:type="dcterms:W3CDTF">2024-09-19T07:51:00Z</dcterms:modified>
</cp:coreProperties>
</file>