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4E58D3"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245F8D" w:rsidRPr="00245F8D"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4E58D3" w:rsidRDefault="00C933A7" w:rsidP="00C933A7">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w:t>
      </w:r>
      <w:r w:rsidRPr="004E58D3">
        <w:rPr>
          <w:rFonts w:ascii="Times New Roman" w:eastAsia="Times New Roman" w:hAnsi="Times New Roman" w:cs="Times New Roman"/>
          <w:sz w:val="27"/>
          <w:szCs w:val="27"/>
          <w:lang w:eastAsia="ru-RU"/>
        </w:rPr>
        <w:lastRenderedPageBreak/>
        <w:t>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A34BF4" w:rsidRDefault="00A34BF4"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255972" w:rsidRDefault="00255972" w:rsidP="00255972">
      <w:pPr>
        <w:widowControl w:val="0"/>
        <w:numPr>
          <w:ilvl w:val="0"/>
          <w:numId w:val="1"/>
        </w:numPr>
        <w:autoSpaceDE w:val="0"/>
        <w:autoSpaceDN w:val="0"/>
        <w:adjustRightInd w:val="0"/>
        <w:spacing w:after="0" w:line="240" w:lineRule="auto"/>
        <w:ind w:right="-142"/>
        <w:contextualSpacing/>
        <w:rPr>
          <w:rFonts w:ascii="Times New Roman" w:hAnsi="Times New Roman" w:cs="Times New Roman"/>
          <w:b/>
          <w:color w:val="000000"/>
          <w:spacing w:val="1"/>
          <w:sz w:val="27"/>
          <w:szCs w:val="27"/>
        </w:rPr>
      </w:pPr>
      <w:r>
        <w:rPr>
          <w:rFonts w:ascii="Times New Roman" w:hAnsi="Times New Roman" w:cs="Times New Roman"/>
          <w:b/>
          <w:color w:val="000000"/>
          <w:spacing w:val="1"/>
          <w:sz w:val="27"/>
          <w:szCs w:val="27"/>
        </w:rPr>
        <w:t>С</w:t>
      </w:r>
      <w:r w:rsidRPr="00255972">
        <w:rPr>
          <w:rFonts w:ascii="Times New Roman" w:hAnsi="Times New Roman" w:cs="Times New Roman"/>
          <w:b/>
          <w:color w:val="000000"/>
          <w:spacing w:val="1"/>
          <w:sz w:val="27"/>
          <w:szCs w:val="27"/>
        </w:rPr>
        <w:t>тарш</w:t>
      </w:r>
      <w:r>
        <w:rPr>
          <w:rFonts w:ascii="Times New Roman" w:hAnsi="Times New Roman" w:cs="Times New Roman"/>
          <w:b/>
          <w:color w:val="000000"/>
          <w:spacing w:val="1"/>
          <w:sz w:val="27"/>
          <w:szCs w:val="27"/>
        </w:rPr>
        <w:t>ий</w:t>
      </w:r>
      <w:r w:rsidRPr="00255972">
        <w:rPr>
          <w:rFonts w:ascii="Times New Roman" w:hAnsi="Times New Roman" w:cs="Times New Roman"/>
          <w:b/>
          <w:color w:val="000000"/>
          <w:spacing w:val="1"/>
          <w:sz w:val="27"/>
          <w:szCs w:val="27"/>
        </w:rPr>
        <w:t xml:space="preserve"> специалист 1 разряда отдела делопр</w:t>
      </w:r>
      <w:r>
        <w:rPr>
          <w:rFonts w:ascii="Times New Roman" w:hAnsi="Times New Roman" w:cs="Times New Roman"/>
          <w:b/>
          <w:color w:val="000000"/>
          <w:spacing w:val="1"/>
          <w:sz w:val="27"/>
          <w:szCs w:val="27"/>
        </w:rPr>
        <w:t xml:space="preserve">оизводства </w:t>
      </w:r>
      <w:r w:rsidRPr="00255972">
        <w:rPr>
          <w:rFonts w:ascii="Times New Roman" w:hAnsi="Times New Roman" w:cs="Times New Roman"/>
          <w:b/>
          <w:color w:val="000000"/>
          <w:spacing w:val="1"/>
          <w:sz w:val="27"/>
          <w:szCs w:val="27"/>
        </w:rPr>
        <w:t>и обеспечения сохранности документации – архива управления по рассмотрению обращений, приему граждан и документационному обеспечению</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 xml:space="preserve">Квалификационные требования: профессиональное образование по направлению подготовки (специальности): «Документоведение и архивоведение», «История», «Правоведение», «Право и организация социального обеспечения», или иметь профессиональное образование соответствующее функциям и конкретным задачам, возложенным на </w:t>
      </w:r>
      <w:r>
        <w:rPr>
          <w:rFonts w:ascii="Times New Roman" w:eastAsia="Times New Roman" w:hAnsi="Times New Roman" w:cs="Times New Roman"/>
          <w:sz w:val="27"/>
          <w:szCs w:val="27"/>
          <w:lang w:eastAsia="ru-RU"/>
        </w:rPr>
        <w:t>отдел</w:t>
      </w:r>
      <w:r w:rsidRPr="00255972">
        <w:rPr>
          <w:rFonts w:ascii="Times New Roman" w:eastAsia="Times New Roman" w:hAnsi="Times New Roman" w:cs="Times New Roman"/>
          <w:sz w:val="27"/>
          <w:szCs w:val="27"/>
          <w:lang w:eastAsia="ru-RU"/>
        </w:rPr>
        <w:t xml:space="preserve">. </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7"/>
          <w:szCs w:val="27"/>
          <w:lang w:eastAsia="ru-RU"/>
        </w:rPr>
        <w:t>отдела</w:t>
      </w:r>
      <w:r w:rsidRPr="00255972">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55972" w:rsidRPr="00255972" w:rsidRDefault="00255972" w:rsidP="00255972">
      <w:pPr>
        <w:spacing w:after="0" w:line="240" w:lineRule="auto"/>
        <w:ind w:right="-142" w:firstLine="567"/>
        <w:jc w:val="both"/>
        <w:rPr>
          <w:rFonts w:ascii="Times New Roman" w:eastAsia="Times New Roman" w:hAnsi="Times New Roman" w:cs="Times New Roman"/>
          <w:sz w:val="27"/>
          <w:szCs w:val="27"/>
          <w:lang w:eastAsia="ru-RU"/>
        </w:rPr>
      </w:pPr>
      <w:r w:rsidRPr="00255972">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55972" w:rsidRDefault="00255972" w:rsidP="00255972">
      <w:pPr>
        <w:widowControl w:val="0"/>
        <w:autoSpaceDE w:val="0"/>
        <w:autoSpaceDN w:val="0"/>
        <w:adjustRightInd w:val="0"/>
        <w:spacing w:after="0" w:line="240" w:lineRule="auto"/>
        <w:ind w:left="568" w:right="-142"/>
        <w:contextualSpacing/>
        <w:rPr>
          <w:rFonts w:ascii="Times New Roman" w:hAnsi="Times New Roman" w:cs="Times New Roman"/>
          <w:b/>
          <w:color w:val="000000"/>
          <w:spacing w:val="1"/>
          <w:sz w:val="27"/>
          <w:szCs w:val="27"/>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962EE4">
        <w:rPr>
          <w:rFonts w:ascii="Times New Roman" w:hAnsi="Times New Roman" w:cs="Times New Roman"/>
          <w:b/>
          <w:color w:val="000000"/>
          <w:spacing w:val="1"/>
          <w:sz w:val="27"/>
          <w:szCs w:val="27"/>
        </w:rPr>
        <w:t>Истринской</w:t>
      </w:r>
      <w:r>
        <w:rPr>
          <w:rFonts w:ascii="Times New Roman" w:hAnsi="Times New Roman" w:cs="Times New Roman"/>
          <w:b/>
          <w:color w:val="000000"/>
          <w:spacing w:val="1"/>
          <w:sz w:val="27"/>
          <w:szCs w:val="27"/>
        </w:rPr>
        <w:t xml:space="preserve"> городской прокуратуры.</w:t>
      </w:r>
    </w:p>
    <w:p w:rsidR="00CD4797" w:rsidRPr="00A34BF4"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Красногорской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r w:rsidR="00954E4E">
        <w:rPr>
          <w:rFonts w:ascii="Times New Roman" w:eastAsia="Times New Roman" w:hAnsi="Times New Roman" w:cs="Times New Roman"/>
          <w:sz w:val="27"/>
          <w:szCs w:val="27"/>
          <w:lang w:eastAsia="ru-RU"/>
        </w:rPr>
        <w:t>горрайспецпрокуратуру</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r w:rsidR="00954E4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в случае непрохождения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Минздравсоцразвития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A34BF4">
        <w:rPr>
          <w:rFonts w:ascii="Times New Roman" w:eastAsia="Times New Roman" w:hAnsi="Times New Roman" w:cs="Times New Roman"/>
          <w:sz w:val="27"/>
          <w:szCs w:val="27"/>
          <w:lang w:eastAsia="ru-RU"/>
        </w:rPr>
        <w:t>2</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CD4797" w:rsidRDefault="00CD479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962EE4">
        <w:rPr>
          <w:rFonts w:ascii="Times New Roman" w:eastAsia="Times New Roman" w:hAnsi="Times New Roman" w:cs="Times New Roman"/>
          <w:b/>
          <w:sz w:val="27"/>
          <w:szCs w:val="27"/>
          <w:lang w:eastAsia="ru-RU"/>
        </w:rPr>
        <w:t>25</w:t>
      </w:r>
      <w:r w:rsidRPr="00D866A3">
        <w:rPr>
          <w:rFonts w:ascii="Times New Roman" w:eastAsia="Times New Roman" w:hAnsi="Times New Roman" w:cs="Times New Roman"/>
          <w:b/>
          <w:sz w:val="27"/>
          <w:szCs w:val="27"/>
          <w:lang w:eastAsia="ru-RU"/>
        </w:rPr>
        <w:t xml:space="preserve"> </w:t>
      </w:r>
      <w:r w:rsidR="00962EE4">
        <w:rPr>
          <w:rFonts w:ascii="Times New Roman" w:eastAsia="Times New Roman" w:hAnsi="Times New Roman" w:cs="Times New Roman"/>
          <w:b/>
          <w:sz w:val="27"/>
          <w:szCs w:val="27"/>
          <w:lang w:eastAsia="ru-RU"/>
        </w:rPr>
        <w:t>августа</w:t>
      </w:r>
      <w:r w:rsidRPr="00D866A3">
        <w:rPr>
          <w:rFonts w:ascii="Times New Roman" w:eastAsia="Times New Roman" w:hAnsi="Times New Roman" w:cs="Times New Roman"/>
          <w:b/>
          <w:sz w:val="27"/>
          <w:szCs w:val="27"/>
          <w:lang w:eastAsia="ru-RU"/>
        </w:rPr>
        <w:t xml:space="preserve"> 202</w:t>
      </w:r>
      <w:r w:rsidR="00A34BF4">
        <w:rPr>
          <w:rFonts w:ascii="Times New Roman" w:eastAsia="Times New Roman" w:hAnsi="Times New Roman" w:cs="Times New Roman"/>
          <w:b/>
          <w:sz w:val="27"/>
          <w:szCs w:val="27"/>
          <w:lang w:eastAsia="ru-RU"/>
        </w:rPr>
        <w:t>3</w:t>
      </w:r>
      <w:r w:rsidRPr="00D866A3">
        <w:rPr>
          <w:rFonts w:ascii="Times New Roman" w:eastAsia="Times New Roman" w:hAnsi="Times New Roman" w:cs="Times New Roman"/>
          <w:b/>
          <w:sz w:val="27"/>
          <w:szCs w:val="27"/>
          <w:lang w:eastAsia="ru-RU"/>
        </w:rPr>
        <w:t xml:space="preserve"> года, окончание – </w:t>
      </w:r>
      <w:r w:rsidR="00962EE4">
        <w:rPr>
          <w:rFonts w:ascii="Times New Roman" w:eastAsia="Times New Roman" w:hAnsi="Times New Roman" w:cs="Times New Roman"/>
          <w:b/>
          <w:sz w:val="27"/>
          <w:szCs w:val="27"/>
          <w:lang w:eastAsia="ru-RU"/>
        </w:rPr>
        <w:t>14</w:t>
      </w:r>
      <w:r w:rsidR="00B65843" w:rsidRPr="009C0026">
        <w:rPr>
          <w:rFonts w:ascii="Times New Roman" w:eastAsia="Times New Roman" w:hAnsi="Times New Roman" w:cs="Times New Roman"/>
          <w:b/>
          <w:sz w:val="27"/>
          <w:szCs w:val="27"/>
          <w:lang w:eastAsia="ru-RU"/>
        </w:rPr>
        <w:t xml:space="preserve"> </w:t>
      </w:r>
      <w:r w:rsidR="00962EE4">
        <w:rPr>
          <w:rFonts w:ascii="Times New Roman" w:eastAsia="Times New Roman" w:hAnsi="Times New Roman" w:cs="Times New Roman"/>
          <w:b/>
          <w:sz w:val="27"/>
          <w:szCs w:val="27"/>
          <w:lang w:eastAsia="ru-RU"/>
        </w:rPr>
        <w:t>сентября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A34BF4">
        <w:rPr>
          <w:rFonts w:ascii="Times New Roman" w:eastAsia="Times New Roman" w:hAnsi="Times New Roman" w:cs="Times New Roman"/>
          <w:b/>
          <w:sz w:val="27"/>
          <w:szCs w:val="27"/>
          <w:lang w:eastAsia="ru-RU"/>
        </w:rPr>
        <w:t>3</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962EE4">
        <w:rPr>
          <w:rFonts w:ascii="Times New Roman" w:eastAsia="Times New Roman" w:hAnsi="Times New Roman" w:cs="Times New Roman"/>
          <w:sz w:val="27"/>
          <w:szCs w:val="27"/>
          <w:lang w:eastAsia="ru-RU"/>
        </w:rPr>
        <w:t>13</w:t>
      </w:r>
      <w:r w:rsidRPr="00A34BF4">
        <w:rPr>
          <w:rFonts w:ascii="Times New Roman" w:eastAsia="Times New Roman" w:hAnsi="Times New Roman" w:cs="Times New Roman"/>
          <w:sz w:val="27"/>
          <w:szCs w:val="27"/>
          <w:lang w:eastAsia="ru-RU"/>
        </w:rPr>
        <w:t xml:space="preserve"> </w:t>
      </w:r>
      <w:r w:rsidR="00962EE4">
        <w:rPr>
          <w:rFonts w:ascii="Times New Roman" w:eastAsia="Times New Roman" w:hAnsi="Times New Roman" w:cs="Times New Roman"/>
          <w:sz w:val="27"/>
          <w:szCs w:val="27"/>
          <w:lang w:eastAsia="ru-RU"/>
        </w:rPr>
        <w:t>октября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A34BF4">
        <w:rPr>
          <w:rFonts w:ascii="Times New Roman" w:eastAsia="Times New Roman" w:hAnsi="Times New Roman" w:cs="Times New Roman"/>
          <w:sz w:val="27"/>
          <w:szCs w:val="27"/>
          <w:lang w:eastAsia="ru-RU"/>
        </w:rPr>
        <w:t>3</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знаний и </w:t>
      </w:r>
      <w:r w:rsidRPr="00FD72E7">
        <w:rPr>
          <w:rFonts w:ascii="Times New Roman" w:eastAsia="Times New Roman" w:hAnsi="Times New Roman" w:cs="Times New Roman"/>
          <w:sz w:val="27"/>
          <w:szCs w:val="27"/>
          <w:lang w:eastAsia="ru-RU"/>
        </w:rPr>
        <w:lastRenderedPageBreak/>
        <w:t>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70355D"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bookmarkStart w:id="0" w:name="_GoBack"/>
      <w:bookmarkEnd w:id="0"/>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1E" w:rsidRDefault="00D53A1E">
      <w:pPr>
        <w:spacing w:after="0" w:line="240" w:lineRule="auto"/>
      </w:pPr>
      <w:r>
        <w:separator/>
      </w:r>
    </w:p>
  </w:endnote>
  <w:endnote w:type="continuationSeparator" w:id="0">
    <w:p w:rsidR="00D53A1E" w:rsidRDefault="00D5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1E" w:rsidRDefault="00D53A1E">
      <w:pPr>
        <w:spacing w:after="0" w:line="240" w:lineRule="auto"/>
      </w:pPr>
      <w:r>
        <w:separator/>
      </w:r>
    </w:p>
  </w:footnote>
  <w:footnote w:type="continuationSeparator" w:id="0">
    <w:p w:rsidR="00D53A1E" w:rsidRDefault="00D5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D53A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2EE4">
      <w:rPr>
        <w:rStyle w:val="a5"/>
        <w:noProof/>
      </w:rPr>
      <w:t>6</w:t>
    </w:r>
    <w:r>
      <w:rPr>
        <w:rStyle w:val="a5"/>
      </w:rPr>
      <w:fldChar w:fldCharType="end"/>
    </w:r>
  </w:p>
  <w:p w:rsidR="00B221BA" w:rsidRDefault="00D53A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3299A"/>
    <w:rsid w:val="0014670F"/>
    <w:rsid w:val="001D4D34"/>
    <w:rsid w:val="00202B40"/>
    <w:rsid w:val="002358BE"/>
    <w:rsid w:val="00243350"/>
    <w:rsid w:val="002443E9"/>
    <w:rsid w:val="00245F8D"/>
    <w:rsid w:val="00250FA3"/>
    <w:rsid w:val="00251766"/>
    <w:rsid w:val="00255972"/>
    <w:rsid w:val="00275029"/>
    <w:rsid w:val="002B424D"/>
    <w:rsid w:val="002E0A78"/>
    <w:rsid w:val="002E4C12"/>
    <w:rsid w:val="00315C1B"/>
    <w:rsid w:val="0039283F"/>
    <w:rsid w:val="003D21DD"/>
    <w:rsid w:val="00434CDB"/>
    <w:rsid w:val="00451C6C"/>
    <w:rsid w:val="0045451F"/>
    <w:rsid w:val="00464BFE"/>
    <w:rsid w:val="004D65CD"/>
    <w:rsid w:val="004E58D3"/>
    <w:rsid w:val="00527A3F"/>
    <w:rsid w:val="005663EA"/>
    <w:rsid w:val="005A4C78"/>
    <w:rsid w:val="005B18C2"/>
    <w:rsid w:val="005B55F5"/>
    <w:rsid w:val="005D1CAB"/>
    <w:rsid w:val="006661FC"/>
    <w:rsid w:val="00674B60"/>
    <w:rsid w:val="006800BC"/>
    <w:rsid w:val="00695A32"/>
    <w:rsid w:val="006D7799"/>
    <w:rsid w:val="0070355D"/>
    <w:rsid w:val="00772E23"/>
    <w:rsid w:val="00796E50"/>
    <w:rsid w:val="007B51A3"/>
    <w:rsid w:val="007D3492"/>
    <w:rsid w:val="007E2BB4"/>
    <w:rsid w:val="008325E0"/>
    <w:rsid w:val="00841478"/>
    <w:rsid w:val="008446B8"/>
    <w:rsid w:val="00895930"/>
    <w:rsid w:val="008B214A"/>
    <w:rsid w:val="00954E4E"/>
    <w:rsid w:val="00962EE4"/>
    <w:rsid w:val="00973AFE"/>
    <w:rsid w:val="009C0026"/>
    <w:rsid w:val="009E6D1D"/>
    <w:rsid w:val="00A34BF4"/>
    <w:rsid w:val="00A706A2"/>
    <w:rsid w:val="00A94939"/>
    <w:rsid w:val="00AE48FF"/>
    <w:rsid w:val="00B24C31"/>
    <w:rsid w:val="00B47077"/>
    <w:rsid w:val="00B65843"/>
    <w:rsid w:val="00BF6CDF"/>
    <w:rsid w:val="00C41138"/>
    <w:rsid w:val="00C933A7"/>
    <w:rsid w:val="00CD4797"/>
    <w:rsid w:val="00D31C94"/>
    <w:rsid w:val="00D404FB"/>
    <w:rsid w:val="00D503D2"/>
    <w:rsid w:val="00D53A1E"/>
    <w:rsid w:val="00D56E81"/>
    <w:rsid w:val="00D866A3"/>
    <w:rsid w:val="00DD6EDA"/>
    <w:rsid w:val="00DF4939"/>
    <w:rsid w:val="00E356EF"/>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DDE4E"/>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2021-08-26T12:54:00Z</cp:lastPrinted>
  <dcterms:created xsi:type="dcterms:W3CDTF">2023-08-25T11:50:00Z</dcterms:created>
  <dcterms:modified xsi:type="dcterms:W3CDTF">2023-08-25T11:50:00Z</dcterms:modified>
</cp:coreProperties>
</file>