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28" w:before="0" w:after="0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</w:r>
    </w:p>
    <w:p>
      <w:pPr>
        <w:pStyle w:val="Normal"/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а) дать гражданину согласие на замещение должности в коммерческой (некоммерческой) организации;</w:t>
      </w:r>
    </w:p>
    <w:p>
      <w:pPr>
        <w:pStyle w:val="Normal"/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/>
      </w:r>
    </w:p>
    <w:p>
      <w:pPr>
        <w:pStyle w:val="Normal"/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 xml:space="preserve">б) отказать гражданину в замещении должности в коммерческой (некоммерческой) организации и мотивировать свой отказ </w:t>
        <w:br/>
        <w:t xml:space="preserve">в письменном виде. </w:t>
      </w:r>
    </w:p>
    <w:p>
      <w:pPr>
        <w:pStyle w:val="Normal"/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 xml:space="preserve">Если гражданин не согласен с решением Комиссии, он вправе обратиться с просьбой </w:t>
        <w:br/>
        <w:t xml:space="preserve">о пересмотре этого решения либо обратиться в органы прокуратуры, либо в суд. </w:t>
      </w:r>
    </w:p>
    <w:p>
      <w:pPr>
        <w:pStyle w:val="Normal"/>
        <w:spacing w:lineRule="auto" w:line="228" w:before="0" w:after="0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Style w:val="Style18"/>
          <w:lang w:eastAsia="ru-RU"/>
        </w:rPr>
      </w:pPr>
      <w:r>
        <w:rPr>
          <w:lang w:eastAsia="ru-RU"/>
        </w:rPr>
      </w:r>
    </w:p>
    <w:p>
      <w:pPr>
        <w:pStyle w:val="Normal"/>
        <w:spacing w:lineRule="auto" w:line="240" w:before="0" w:after="0"/>
        <w:ind w:firstLine="142"/>
        <w:jc w:val="both"/>
        <w:rPr>
          <w:rStyle w:val="Style18"/>
          <w:lang w:eastAsia="ru-RU"/>
        </w:rPr>
      </w:pPr>
      <w:r>
        <w:rPr/>
        <w:drawing>
          <wp:inline distT="0" distB="0" distL="0" distR="0">
            <wp:extent cx="3150235" cy="2095500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ind w:firstLine="142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28" w:before="0" w:after="0"/>
        <w:ind w:firstLine="142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</w:r>
    </w:p>
    <w:p>
      <w:pPr>
        <w:pStyle w:val="Normal"/>
        <w:spacing w:lineRule="auto" w:line="228" w:before="0" w:after="0"/>
        <w:ind w:firstLine="142"/>
        <w:jc w:val="both"/>
        <w:rPr>
          <w:b/>
          <w:b/>
          <w:bCs/>
          <w:i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>Несоблюдение гражданином, замещавшим государственную (муниципальную) должность, требования сообщать работодателю сведения о последнем месте своей службы, влечет прекращение трудового или гражданско-правового договора в коммерческой организации.</w:t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/>
        <w:drawing>
          <wp:inline distT="0" distB="0" distL="0" distR="0">
            <wp:extent cx="3150235" cy="2771140"/>
            <wp:effectExtent l="0" t="0" r="0" b="0"/>
            <wp:docPr id="2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b/>
          <w:b/>
          <w:bCs/>
          <w:i/>
          <w:i/>
          <w:iCs/>
          <w:color w:val="244061" w:themeColor="accent1" w:themeShade="80"/>
        </w:rPr>
      </w:pPr>
      <w:r>
        <w:rPr>
          <w:b/>
          <w:bCs/>
          <w:i/>
          <w:iCs/>
          <w:color w:val="244061" w:themeColor="accent1" w:themeShade="8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Прокуратура Елецкого района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8 (47467) 2-00-37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@</w:t>
      </w:r>
      <w:r>
        <w:rPr>
          <w:b/>
          <w:bCs/>
          <w:i/>
          <w:iCs/>
          <w:color w:val="244061" w:themeColor="accent1" w:themeShade="80"/>
          <w:sz w:val="28"/>
          <w:szCs w:val="28"/>
          <w:lang w:val="en-US"/>
        </w:rPr>
        <w:t>lipprok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  <w:lang w:val="en-US"/>
        </w:rPr>
        <w:t>https</w:t>
      </w:r>
      <w:r>
        <w:rPr>
          <w:b/>
          <w:bCs/>
          <w:i/>
          <w:iCs/>
          <w:color w:val="244061" w:themeColor="accent1" w:themeShade="80"/>
          <w:sz w:val="28"/>
          <w:szCs w:val="28"/>
        </w:rPr>
        <w:t>://epp.genproc.gov.rи</w:t>
      </w:r>
    </w:p>
    <w:p>
      <w:pPr>
        <w:pStyle w:val="Normal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  <w:b/>
          <w:color w:val="FF0000"/>
        </w:rPr>
      </w:pPr>
      <w:r>
        <w:rPr/>
        <w:drawing>
          <wp:inline distT="0" distB="0" distL="0" distR="0">
            <wp:extent cx="3150235" cy="2094865"/>
            <wp:effectExtent l="0" t="0" r="0" b="0"/>
            <wp:docPr id="3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  <w:color w:val="4F6228" w:themeColor="accent3" w:themeShade="80"/>
          <w:sz w:val="32"/>
          <w:szCs w:val="32"/>
        </w:rPr>
      </w:pPr>
      <w:r>
        <w:rPr>
          <w:rFonts w:cs="Times New Roman" w:ascii="Times New Roman" w:hAnsi="Times New Roman"/>
          <w:b/>
          <w:bCs/>
          <w:i/>
          <w:color w:val="4F6228" w:themeColor="accent3" w:themeShade="80"/>
          <w:sz w:val="32"/>
          <w:szCs w:val="32"/>
        </w:rPr>
        <w:t xml:space="preserve">Ограничения, </w:t>
      </w:r>
      <w:r>
        <w:rPr>
          <w:rFonts w:cs="Times New Roman" w:ascii="Times New Roman" w:hAnsi="Times New Roman"/>
          <w:b/>
          <w:bCs/>
          <w:i/>
          <w:color w:val="4F6228" w:themeColor="accent3" w:themeShade="80"/>
          <w:sz w:val="32"/>
          <w:szCs w:val="32"/>
          <w:shd w:fill="FFFFFF" w:val="clear"/>
        </w:rPr>
        <w:t>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</w:t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FF0000"/>
        </w:rPr>
      </w:pPr>
      <w:r>
        <w:rPr>
          <w:b/>
          <w:bCs/>
          <w:i/>
          <w:iCs/>
          <w:color w:val="FF0000"/>
        </w:rPr>
      </w:r>
    </w:p>
    <w:p>
      <w:pPr>
        <w:pStyle w:val="Normal"/>
        <w:tabs>
          <w:tab w:val="clear" w:pos="709"/>
          <w:tab w:val="left" w:pos="567" w:leader="none"/>
        </w:tabs>
        <w:spacing w:lineRule="auto" w:line="240" w:before="0" w:after="0"/>
        <w:ind w:firstLine="284"/>
        <w:jc w:val="both"/>
        <w:rPr>
          <w:rFonts w:cs="Calibri" w:cstheme="minorHAnsi"/>
          <w:b/>
          <w:b/>
          <w:bCs/>
          <w:i/>
          <w:i/>
          <w:iCs/>
          <w:color w:val="FF0000"/>
          <w:sz w:val="28"/>
          <w:szCs w:val="28"/>
        </w:rPr>
      </w:pPr>
      <w:r>
        <w:rPr>
          <w:rFonts w:cs="Calibri" w:cstheme="minorHAnsi"/>
          <w:b/>
          <w:bCs/>
          <w:i/>
          <w:iCs/>
          <w:color w:val="FF0000"/>
          <w:sz w:val="28"/>
          <w:szCs w:val="28"/>
        </w:rPr>
        <w:t>Обязанность гражданина – бывшего государственного служащего, сообщать работодателю о замещении им должности в государственном органе.</w:t>
      </w:r>
    </w:p>
    <w:p>
      <w:pPr>
        <w:pStyle w:val="Normal"/>
        <w:spacing w:lineRule="auto" w:line="240" w:before="0" w:after="0"/>
        <w:ind w:firstLine="284"/>
        <w:jc w:val="both"/>
        <w:rPr>
          <w:rFonts w:cs="Calibri" w:cstheme="minorHAnsi"/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rFonts w:cs="Calibri" w:cstheme="minorHAnsi"/>
          <w:b/>
          <w:bCs/>
          <w:i/>
          <w:iCs/>
          <w:color w:val="244061" w:themeColor="accent1" w:themeShade="80"/>
          <w:sz w:val="28"/>
          <w:szCs w:val="28"/>
        </w:rPr>
        <w:t>В соответствии с частью 2 статьи 12 Федерального закона от 25 декабря 2008 года № 273-ФЗ гражданин, замещавший должность государственной гражданской службы, включенную в соответствующий Перечень должностей, в течение двух лет после увольнения с государственной службы обязан при заключении трудовых или гражданско-правовых договоров на выполнение работ (оказание услуг) сообщать работодателю сведения о последнем месте своей службы.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 xml:space="preserve">Условия, при которых гражданин – бывший государственный гражданский служащий, для дальнейшего трудоустройства обязан получить согласие комиссии по соблюдению требований к служебному поведению государственных или муниципальных служащих и урегулированию конфликта интересов </w:t>
      </w:r>
      <w:r>
        <w:rPr>
          <w:b/>
          <w:bCs/>
          <w:i/>
          <w:iCs/>
          <w:color w:val="244061" w:themeColor="accent1" w:themeShade="80"/>
          <w:sz w:val="28"/>
          <w:szCs w:val="28"/>
        </w:rPr>
        <w:t>(далее – Комиссия):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75" w:firstLine="209"/>
        <w:contextualSpacing/>
        <w:jc w:val="both"/>
        <w:rPr>
          <w:b/>
          <w:b/>
          <w:bCs/>
          <w:i/>
          <w:i/>
          <w:iCs/>
          <w:color w:val="17365D" w:themeColor="text2" w:themeShade="bf"/>
          <w:sz w:val="28"/>
          <w:szCs w:val="28"/>
        </w:rPr>
      </w:pPr>
      <w:r>
        <w:rPr>
          <w:b/>
          <w:bCs/>
          <w:i/>
          <w:iCs/>
          <w:color w:val="17365D" w:themeColor="text2" w:themeShade="bf"/>
          <w:sz w:val="28"/>
          <w:szCs w:val="28"/>
        </w:rPr>
        <w:t>должность, которую замещал гражданин, включ</w:t>
      </w:r>
      <w:bookmarkStart w:id="0" w:name="_GoBack"/>
      <w:bookmarkEnd w:id="0"/>
      <w:r>
        <w:rPr>
          <w:b/>
          <w:bCs/>
          <w:i/>
          <w:iCs/>
          <w:color w:val="17365D" w:themeColor="text2" w:themeShade="bf"/>
          <w:sz w:val="28"/>
          <w:szCs w:val="28"/>
        </w:rPr>
        <w:t>ена в соответствующий Перечень должностей,</w:t>
      </w:r>
      <w:r>
        <w:rPr>
          <w:rFonts w:cs="Calibri" w:cstheme="minorHAnsi"/>
          <w:b/>
          <w:i/>
          <w:color w:val="17365D" w:themeColor="text2" w:themeShade="bf"/>
          <w:sz w:val="28"/>
          <w:szCs w:val="28"/>
          <w:shd w:fill="FFFFFF" w:val="clear"/>
        </w:rPr>
        <w:t xml:space="preserve"> установленный нормативными правовыми актами Российской Федерации</w:t>
      </w:r>
      <w:r>
        <w:rPr>
          <w:b/>
          <w:bCs/>
          <w:i/>
          <w:iCs/>
          <w:color w:val="17365D" w:themeColor="text2" w:themeShade="bf"/>
          <w:sz w:val="28"/>
          <w:szCs w:val="28"/>
        </w:rPr>
        <w:t>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75" w:firstLine="209"/>
        <w:contextualSpacing/>
        <w:jc w:val="both"/>
        <w:rPr>
          <w:b/>
          <w:b/>
          <w:bCs/>
          <w:i/>
          <w:i/>
          <w:iCs/>
          <w:color w:val="17365D" w:themeColor="text2" w:themeShade="bf"/>
          <w:sz w:val="28"/>
          <w:szCs w:val="28"/>
        </w:rPr>
      </w:pPr>
      <w:r>
        <w:rPr>
          <w:b/>
          <w:bCs/>
          <w:i/>
          <w:iCs/>
          <w:color w:val="17365D" w:themeColor="text2" w:themeShade="bf"/>
          <w:sz w:val="28"/>
          <w:szCs w:val="28"/>
        </w:rPr>
        <w:t>в должностные обязанности гражданина входили отдельные функции государственного, муниципального (административного) управления организацией, в которую он трудоустраивается;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75" w:firstLine="209"/>
        <w:contextualSpacing/>
        <w:jc w:val="both"/>
        <w:rPr>
          <w:b/>
          <w:b/>
          <w:bCs/>
          <w:i/>
          <w:i/>
          <w:iCs/>
          <w:color w:val="17365D" w:themeColor="text2" w:themeShade="bf"/>
          <w:sz w:val="28"/>
          <w:szCs w:val="28"/>
        </w:rPr>
      </w:pPr>
      <w:r>
        <w:rPr>
          <w:b/>
          <w:bCs/>
          <w:i/>
          <w:iCs/>
          <w:color w:val="17365D" w:themeColor="text2" w:themeShade="bf"/>
          <w:sz w:val="28"/>
          <w:szCs w:val="28"/>
        </w:rPr>
        <w:t>прошло менее двух лет со дня увольнения гражданина с государственной (муниципальной) должности;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75" w:firstLine="209"/>
        <w:contextualSpacing/>
        <w:jc w:val="both"/>
        <w:rPr>
          <w:b/>
          <w:b/>
          <w:bCs/>
          <w:i/>
          <w:i/>
          <w:iCs/>
          <w:color w:val="17365D" w:themeColor="text2" w:themeShade="bf"/>
          <w:sz w:val="28"/>
          <w:szCs w:val="28"/>
        </w:rPr>
      </w:pPr>
      <w:r>
        <w:rPr>
          <w:b/>
          <w:bCs/>
          <w:i/>
          <w:iCs/>
          <w:color w:val="17365D" w:themeColor="text2" w:themeShade="bf"/>
          <w:sz w:val="28"/>
          <w:szCs w:val="28"/>
        </w:rPr>
        <w:t>гражданин заключает трудовой договор вне зависимости от размера заработной платы либо гражданско-правовой договор (договоры), стоимость выполнения работ (оказания услуг) по которому (которым) составляет более ста тысяч рублей в течение месяца.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>Порядок направления гражданином – бывшим государственным (муниципальным) служащим, обращения о даче согласия на трудоустройство.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 xml:space="preserve">Письменное обращение подается гражданином в подразделение по профилактике коррупционных и иных правонарушений не позднее 15 дней до начала работы. 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>В обращении указываются: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1) фамилия, имя, отчество гражданина, дата его рождения, адрес места жительства;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 xml:space="preserve">2) замещаемые должности в течение последних двух лет до дня увольнения </w:t>
        <w:br/>
        <w:t xml:space="preserve">с государственной (муниципальной)  службы; 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 xml:space="preserve">3) наименование, местонахождение коммерческой (некоммерческой) организации; 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5) характер деятельности коммерческой (некоммерческой) организации согласно учредительным документам;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6) должностные обязанности, исполняемые гражданином во время замещения им должности государственной (муниципальной) службы в соответствии с должностным регламентом;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7) функции по государственному, (административному) управлению в отношении коммерческой (некоммерческой) организации (функции по государственному, (административному) управлению в отношении конкретной организации, в которую трудоустраивается бывший государственный служащий);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8) вид договора (трудовой или гражданско-правовой);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9) предполагаемый срок действия договора;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 xml:space="preserve">10) сумма оплаты за выполнение (оказание) по договору работ (услуг) (предполагаемая сумма </w:t>
        <w:br/>
        <w:t>в рублях в течение месяца);</w:t>
      </w:r>
    </w:p>
    <w:p>
      <w:pPr>
        <w:pStyle w:val="ListParagraph"/>
        <w:spacing w:lineRule="auto" w:line="240" w:before="0" w:after="0"/>
        <w:ind w:left="0" w:firstLine="284"/>
        <w:contextualSpacing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>
          <w:b/>
          <w:bCs/>
          <w:i/>
          <w:iCs/>
          <w:color w:val="244061" w:themeColor="accent1" w:themeShade="80"/>
          <w:sz w:val="28"/>
          <w:szCs w:val="28"/>
        </w:rPr>
        <w:t>11) информация о намерении лично присутствовать на заседании Комиссии.</w:t>
      </w:r>
    </w:p>
    <w:p>
      <w:pPr>
        <w:pStyle w:val="Normal"/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>По итогам рассмотрения обращения гражданина Комиссия принимает одно из следующих решений:</w:t>
      </w:r>
    </w:p>
    <w:p>
      <w:pPr>
        <w:pStyle w:val="Normal"/>
        <w:spacing w:lineRule="auto" w:line="240" w:before="0" w:after="0"/>
        <w:ind w:firstLine="284"/>
        <w:jc w:val="both"/>
        <w:rPr>
          <w:b/>
          <w:b/>
          <w:bCs/>
          <w:i/>
          <w:i/>
          <w:iCs/>
          <w:color w:val="244061" w:themeColor="accent1" w:themeShade="80"/>
          <w:sz w:val="28"/>
          <w:szCs w:val="28"/>
        </w:rPr>
      </w:pPr>
      <w:r>
        <w:rPr/>
      </w:r>
    </w:p>
    <w:sectPr>
      <w:type w:val="continuous"/>
      <w:pgSz w:orient="landscape" w:w="16838" w:h="11906"/>
      <w:pgMar w:left="284" w:right="255" w:header="0" w:top="284" w:footer="0" w:bottom="142" w:gutter="0"/>
      <w:cols w:num="3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a94314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22d9"/>
    <w:rPr>
      <w:color w:val="0000FF" w:themeColor="hyperlink"/>
      <w:u w:val="single"/>
    </w:rPr>
  </w:style>
  <w:style w:type="character" w:styleId="Style16" w:customStyle="1">
    <w:name w:val="Текст сноски Знак"/>
    <w:basedOn w:val="DefaultParagraphFont"/>
    <w:link w:val="a8"/>
    <w:uiPriority w:val="99"/>
    <w:semiHidden/>
    <w:qFormat/>
    <w:rsid w:val="008d49a0"/>
    <w:rPr>
      <w:sz w:val="20"/>
      <w:szCs w:val="20"/>
    </w:rPr>
  </w:style>
  <w:style w:type="character" w:styleId="Style17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8d49a0"/>
    <w:rPr>
      <w:rFonts w:cs="Times New Roman"/>
      <w:vertAlign w:val="superscript"/>
    </w:rPr>
  </w:style>
  <w:style w:type="character" w:styleId="Style18">
    <w:name w:val="Выделение"/>
    <w:basedOn w:val="DefaultParagraphFont"/>
    <w:uiPriority w:val="20"/>
    <w:qFormat/>
    <w:rsid w:val="00c52589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2589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52589"/>
    <w:rPr>
      <w:b/>
      <w:bCs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a9431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422d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8d49a0"/>
    <w:pPr>
      <w:spacing w:before="0" w:after="200"/>
      <w:ind w:left="720" w:hanging="0"/>
      <w:contextualSpacing/>
    </w:pPr>
    <w:rPr/>
  </w:style>
  <w:style w:type="paragraph" w:styleId="Style24">
    <w:name w:val="Footnote Text"/>
    <w:basedOn w:val="Normal"/>
    <w:link w:val="a9"/>
    <w:uiPriority w:val="99"/>
    <w:semiHidden/>
    <w:unhideWhenUsed/>
    <w:rsid w:val="008d49a0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EEFB0-EF14-4755-B1B6-20CACFB4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Application>LibreOffice/7.1.3.2$Windows_X86_64 LibreOffice_project/47f78053abe362b9384784d31a6e56f8511eb1c1</Application>
  <AppVersion>15.0000</AppVersion>
  <Pages>3</Pages>
  <Words>449</Words>
  <Characters>3455</Characters>
  <CharactersWithSpaces>3882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2018-10-18T07:17:00Z</dcterms:created>
  <dc:creator>Саичкина Валентина Михайловна</dc:creator>
  <dc:description/>
  <dc:language>ru-RU</dc:language>
  <cp:lastModifiedBy/>
  <cp:lastPrinted>2020-07-23T17:37:00Z</cp:lastPrinted>
  <dcterms:modified xsi:type="dcterms:W3CDTF">2021-09-17T12:57:16Z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