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D16D2A">
        <w:rPr>
          <w:color w:val="538135" w:themeColor="accent6" w:themeShade="BF"/>
          <w:sz w:val="28"/>
          <w:szCs w:val="28"/>
        </w:rPr>
        <w:t>отдела документационного обеспечения</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D16D2A">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D16D2A" w:rsidRPr="00070C84">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20A38">
        <w:rPr>
          <w:b/>
          <w:sz w:val="28"/>
          <w:szCs w:val="28"/>
        </w:rPr>
        <w:t>09</w:t>
      </w:r>
      <w:r w:rsidR="009A7850">
        <w:rPr>
          <w:b/>
          <w:sz w:val="28"/>
          <w:szCs w:val="28"/>
        </w:rPr>
        <w:t xml:space="preserve"> </w:t>
      </w:r>
      <w:r w:rsidR="00420A38">
        <w:rPr>
          <w:b/>
          <w:sz w:val="28"/>
          <w:szCs w:val="28"/>
        </w:rPr>
        <w:t>декабря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420A38">
        <w:rPr>
          <w:b/>
          <w:sz w:val="28"/>
          <w:szCs w:val="28"/>
        </w:rPr>
        <w:t>29</w:t>
      </w:r>
      <w:r w:rsidR="00153BB3">
        <w:rPr>
          <w:b/>
          <w:sz w:val="28"/>
          <w:szCs w:val="28"/>
        </w:rPr>
        <w:t xml:space="preserve"> </w:t>
      </w:r>
      <w:r w:rsidR="00420A38">
        <w:rPr>
          <w:b/>
          <w:sz w:val="28"/>
          <w:szCs w:val="28"/>
        </w:rPr>
        <w:t>декабря</w:t>
      </w:r>
      <w:r w:rsidR="00AD2451">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923"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997"/>
      </w:tblGrid>
      <w:tr w:rsidR="008A68EC" w:rsidRPr="008A68EC" w:rsidTr="001D6708">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9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923" w:type="dxa"/>
        <w:tblLayout w:type="fixed"/>
        <w:tblCellMar>
          <w:left w:w="28" w:type="dxa"/>
          <w:right w:w="28" w:type="dxa"/>
        </w:tblCellMar>
        <w:tblLook w:val="04A0" w:firstRow="1" w:lastRow="0" w:firstColumn="1" w:lastColumn="0" w:noHBand="0" w:noVBand="1"/>
      </w:tblPr>
      <w:tblGrid>
        <w:gridCol w:w="2013"/>
        <w:gridCol w:w="7910"/>
      </w:tblGrid>
      <w:tr w:rsidR="008A68EC" w:rsidRPr="008A68EC" w:rsidTr="001D6708">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910"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923"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755"/>
      </w:tblGrid>
      <w:tr w:rsidR="008A68EC" w:rsidRPr="008A68EC" w:rsidTr="001D6708">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7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1D6708">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626"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6D9" w:rsidRDefault="006556D9" w:rsidP="00646B55">
      <w:r>
        <w:separator/>
      </w:r>
    </w:p>
  </w:endnote>
  <w:endnote w:type="continuationSeparator" w:id="0">
    <w:p w:rsidR="006556D9" w:rsidRDefault="006556D9"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6D9" w:rsidRDefault="006556D9" w:rsidP="00646B55">
      <w:r>
        <w:separator/>
      </w:r>
    </w:p>
  </w:footnote>
  <w:footnote w:type="continuationSeparator" w:id="0">
    <w:p w:rsidR="006556D9" w:rsidRDefault="006556D9"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917E80">
      <w:rPr>
        <w:noProof/>
      </w:rPr>
      <w:t>20</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556D9"/>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17E80"/>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43132-CA1D-45D9-91B8-9B477B25C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21</Pages>
  <Words>5036</Words>
  <Characters>28709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33678</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51</cp:revision>
  <cp:lastPrinted>2021-12-09T07:54:00Z</cp:lastPrinted>
  <dcterms:created xsi:type="dcterms:W3CDTF">2021-03-19T07:54:00Z</dcterms:created>
  <dcterms:modified xsi:type="dcterms:W3CDTF">2021-12-10T14:30:00Z</dcterms:modified>
</cp:coreProperties>
</file>