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firstLine="709"/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Результаты надзора за исполнением законодательства о противодействии коррупции за 2022 год</w:t>
      </w: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ind w:firstLine="709"/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ind w:firstLine="709"/>
        <w:spacing/>
        <w:jc w:val="both"/>
        <w:widowControl/>
        <w:rPr>
          <w:rFonts w:eastAsia="Calibri"/>
          <w:color w:val="0033cc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2022 году прокуратурой Ленинградской области выявлено 1 807</w:t>
      </w:r>
      <w:r>
        <w:rPr>
          <w:rFonts w:eastAsia="Calibri"/>
          <w:color w:val="0033cc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нарушений законодательства о противодействии коррупции, по результатам проверок внесено 561 представление, по итогам рассмотрения которых к дисциплинарной ответственности привлечено 714 лиц, в том числе 3 лица уволено в связи с утратой доверия.</w:t>
      </w:r>
      <w:r>
        <w:rPr>
          <w:rFonts w:eastAsia="Calibri"/>
          <w:color w:val="0033cc"/>
          <w:sz w:val="28"/>
          <w:szCs w:val="28"/>
          <w:lang w:eastAsia="en-us"/>
        </w:rPr>
      </w:r>
    </w:p>
    <w:p>
      <w:pPr>
        <w:ind w:firstLine="709"/>
        <w:spacing/>
        <w:jc w:val="both"/>
        <w:widowControl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2022 году принесено 766 протестов в связи с выявленными правовыми актами, противоречащими законодательству о противодействии коррупции. По постановлениям прокурора к административной ответственности привлечено 84 юридических и должностных лица.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eastAsia="Calibri" w:cs="Calibri"/>
          <w:sz w:val="22"/>
          <w:szCs w:val="22"/>
          <w:lang w:eastAsia="en-us"/>
        </w:rPr>
      </w:r>
    </w:p>
    <w:p>
      <w:pPr>
        <w:ind w:firstLine="709"/>
        <w:spacing/>
        <w:jc w:val="both"/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порядке п. 2 ч. 2 ст. 37 УПК РФ в органы предварительного расследования направлено 25 материалов проверок, по результатам рассмотрения которых возбуждено 19 уголовных дел. В суд направлено 36 исков (заявлений) на сумму 54 268 тыс. руб. </w:t>
      </w:r>
    </w:p>
    <w:p>
      <w:pPr>
        <w:ind w:right="-2" w:firstLine="709"/>
        <w:spacing/>
        <w:jc w:val="both"/>
        <w:widowControl/>
        <w:rPr>
          <w:rFonts w:eastAsia="Calibri"/>
          <w:spacing w:val="-2" w:percent="98"/>
          <w:sz w:val="28"/>
          <w:szCs w:val="28"/>
          <w:lang w:eastAsia="en-us"/>
        </w:rPr>
      </w:pPr>
      <w:r>
        <w:rPr>
          <w:rFonts w:eastAsia="Calibri"/>
          <w:spacing w:val="-2" w:percent="98"/>
          <w:sz w:val="28"/>
          <w:szCs w:val="28"/>
          <w:lang w:eastAsia="en-us"/>
        </w:rPr>
        <w:t>За 2022 год на территории Ленинградской области зарегистрировано 331 преступление коррупционной направленности, в том числе 24 факта получения взяток.</w:t>
      </w:r>
    </w:p>
    <w:p>
      <w:pPr>
        <w:pStyle w:val="para4"/>
        <w:ind w:firstLine="709"/>
        <w:spacing/>
        <w:jc w:val="both"/>
        <w:rPr>
          <w:spacing w:val="-2" w:percent="98"/>
          <w:szCs w:val="28"/>
        </w:rPr>
      </w:pPr>
      <w:r>
        <w:rPr>
          <w:spacing w:val="-2" w:percent="98"/>
          <w:szCs w:val="28"/>
        </w:rPr>
      </w:r>
    </w:p>
    <w:p>
      <w:pPr>
        <w:pStyle w:val="para4"/>
        <w:ind w:firstLine="709"/>
        <w:spacing/>
        <w:jc w:val="both"/>
        <w:rPr>
          <w:szCs w:val="28"/>
        </w:rPr>
      </w:pPr>
      <w:r>
        <w:rPr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77"/>
    </w:tmLastPosCaret>
    <w:tmLastPosAnchor>
      <w:tmLastPosPgfIdx w:val="0"/>
      <w:tmLastPosIdx w:val="0"/>
    </w:tmLastPosAnchor>
    <w:tmLastPosTblRect w:left="0" w:top="0" w:right="0" w:bottom="0"/>
  </w:tmLastPos>
  <w:tmAppRevision w:date="1695563315" w:val="106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 Spacing"/>
    <w:qFormat/>
    <w:pPr>
      <w:spacing/>
      <w:jc w:val="center"/>
      <w:widowControl/>
    </w:pPr>
    <w:rPr>
      <w:rFonts w:eastAsia="Calibri"/>
      <w:kern w:val="1"/>
      <w:sz w:val="28"/>
      <w:szCs w:val="22"/>
      <w:lang w:val="ru-ru" w:eastAsia="en-us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 Spacing"/>
    <w:qFormat/>
    <w:pPr>
      <w:spacing/>
      <w:jc w:val="center"/>
      <w:widowControl/>
    </w:pPr>
    <w:rPr>
      <w:rFonts w:eastAsia="Calibri"/>
      <w:kern w:val="1"/>
      <w:sz w:val="28"/>
      <w:szCs w:val="22"/>
      <w:lang w:val="ru-ru" w:eastAsia="en-us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2023-09-24T13:31:01Z</dcterms:created>
  <dcterms:modified xsi:type="dcterms:W3CDTF">2023-09-24T13:48:35Z</dcterms:modified>
</cp:coreProperties>
</file>