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AB" w:rsidRPr="00C538C1" w:rsidRDefault="00C538C1" w:rsidP="00FC5D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538C1">
        <w:rPr>
          <w:rFonts w:ascii="Times New Roman" w:hAnsi="Times New Roman" w:cs="Times New Roman"/>
          <w:b/>
          <w:i/>
          <w:sz w:val="40"/>
          <w:szCs w:val="40"/>
        </w:rPr>
        <w:t>Прокуратура Республики Марий Эл</w:t>
      </w:r>
    </w:p>
    <w:p w:rsidR="00C538C1" w:rsidRDefault="00C538C1" w:rsidP="00FC5D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538C1">
        <w:rPr>
          <w:rFonts w:ascii="Times New Roman" w:hAnsi="Times New Roman" w:cs="Times New Roman"/>
          <w:b/>
          <w:i/>
          <w:sz w:val="40"/>
          <w:szCs w:val="40"/>
        </w:rPr>
        <w:t>отдел по надзору за исполнением законодательства о противодействии коррупции</w:t>
      </w:r>
    </w:p>
    <w:p w:rsidR="00C538C1" w:rsidRDefault="00C538C1" w:rsidP="00FC5DA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38C1" w:rsidRDefault="00C538C1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38C1" w:rsidRDefault="008E5F98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116459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8C1" w:rsidRDefault="00C538C1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5901" w:rsidRPr="00B8427F" w:rsidRDefault="00C538C1" w:rsidP="00AA590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8427F">
        <w:rPr>
          <w:rFonts w:ascii="Times New Roman" w:hAnsi="Times New Roman" w:cs="Times New Roman"/>
          <w:b/>
          <w:i/>
          <w:sz w:val="20"/>
          <w:szCs w:val="20"/>
        </w:rPr>
        <w:t>МАТЕРИАЛ</w:t>
      </w:r>
      <w:r w:rsidR="00B8427F" w:rsidRPr="00B8427F">
        <w:rPr>
          <w:rFonts w:ascii="Times New Roman" w:hAnsi="Times New Roman" w:cs="Times New Roman"/>
          <w:b/>
          <w:i/>
          <w:sz w:val="20"/>
          <w:szCs w:val="20"/>
        </w:rPr>
        <w:t>Ы</w:t>
      </w:r>
      <w:r w:rsidRPr="00B8427F">
        <w:rPr>
          <w:rFonts w:ascii="Times New Roman" w:hAnsi="Times New Roman" w:cs="Times New Roman"/>
          <w:b/>
          <w:i/>
          <w:sz w:val="20"/>
          <w:szCs w:val="20"/>
        </w:rPr>
        <w:t xml:space="preserve"> ПРАВООРАЗЪЯСНИТЕЛЬНОГО ХАРАКТЕРА </w:t>
      </w:r>
    </w:p>
    <w:p w:rsidR="00F14FCA" w:rsidRPr="00B8427F" w:rsidRDefault="00C538C1" w:rsidP="00AA590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8427F">
        <w:rPr>
          <w:rFonts w:ascii="Times New Roman" w:hAnsi="Times New Roman" w:cs="Times New Roman"/>
          <w:b/>
          <w:i/>
          <w:sz w:val="20"/>
          <w:szCs w:val="20"/>
        </w:rPr>
        <w:t xml:space="preserve">ПО ВОПРОСАМ ПРОТИВОДЕЙСТВИЯ </w:t>
      </w:r>
      <w:r w:rsidR="00F14FCA" w:rsidRPr="00B8427F">
        <w:rPr>
          <w:rFonts w:ascii="Times New Roman" w:hAnsi="Times New Roman" w:cs="Times New Roman"/>
          <w:b/>
          <w:i/>
          <w:sz w:val="20"/>
          <w:szCs w:val="20"/>
        </w:rPr>
        <w:t>КОРРУПЦИИ</w:t>
      </w:r>
    </w:p>
    <w:p w:rsidR="00B8427F" w:rsidRPr="00B8427F" w:rsidRDefault="00B8427F" w:rsidP="00AA590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8427F" w:rsidRDefault="00B8427F" w:rsidP="00AA590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27F" w:rsidRPr="00B8427F" w:rsidRDefault="00B8427F" w:rsidP="00B84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color w:val="454545"/>
          <w:sz w:val="40"/>
          <w:szCs w:val="40"/>
          <w:lang w:eastAsia="ru-RU"/>
        </w:rPr>
      </w:pPr>
      <w:r w:rsidRPr="00B8427F">
        <w:rPr>
          <w:rFonts w:ascii="Times New Roman" w:eastAsia="Times New Roman" w:hAnsi="Times New Roman" w:cs="Arial"/>
          <w:b/>
          <w:bCs/>
          <w:i/>
          <w:color w:val="454545"/>
          <w:sz w:val="40"/>
          <w:szCs w:val="40"/>
          <w:lang w:eastAsia="ru-RU"/>
        </w:rPr>
        <w:t>УГОЛОВНАЯ ОТВЕТСТВЕННОСТЬ ЗА ВОСПРЕПЯТСТВОВАНИЕ ЗАКОННОЙ ПРЕДПРИНИМАТЕЛЬСКОЙ ДЕЯТЕЛЬНОСТИ</w:t>
      </w:r>
    </w:p>
    <w:p w:rsidR="00B8427F" w:rsidRPr="00B8427F" w:rsidRDefault="00B8427F" w:rsidP="00B842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Pr="00B8427F" w:rsidRDefault="00F14FCA" w:rsidP="00C538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4FCA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38C1" w:rsidRDefault="00F14FCA" w:rsidP="00C538C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г.Йошкар-Ола </w:t>
      </w:r>
      <w:r w:rsidR="00C538C1" w:rsidRPr="00C538C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8E5F98" w:rsidRDefault="008E5F98" w:rsidP="00C53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8">
        <w:rPr>
          <w:rFonts w:ascii="Times New Roman" w:hAnsi="Times New Roman" w:cs="Times New Roman"/>
          <w:b/>
          <w:sz w:val="28"/>
          <w:szCs w:val="28"/>
        </w:rPr>
        <w:t>2020</w:t>
      </w:r>
    </w:p>
    <w:p w:rsidR="008C117E" w:rsidRDefault="008C117E" w:rsidP="008E5F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 xml:space="preserve">Уголовная ответственность за </w:t>
      </w:r>
      <w:r w:rsidRPr="007634DE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>воспрепятствование законной предпринимательской или иной деятельности предусмотрена ст.169 УК РФ.</w:t>
      </w:r>
    </w:p>
    <w:p w:rsidR="00D544B4" w:rsidRPr="007634DE" w:rsidRDefault="00D544B4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</w:p>
    <w:p w:rsidR="00D544B4" w:rsidRPr="007634DE" w:rsidRDefault="00D544B4" w:rsidP="00D544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соответствии с ч. 1 ст.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Согласно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Такая регистрация предусмотрена для индивидуальных предпринимателей и юридических лиц.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Индивидуальный предприниматель - это гражданин, занимающийся предпринимательской деятельностью без образования юридического лица (ст. 23 ГК РФ).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нести обязанности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, быть истцом и ответчиком в суде (ст. 48 ГК РФ).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Организации, преследующие извлечение прибыли в качестве основной цели своей деятельности, называются коммерческими. Они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Иная экономическая деятельность, не включаемая в предпринимательство, представляет собой разумную деятельность человека, прямо не направленную на 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lastRenderedPageBreak/>
        <w:t xml:space="preserve">получение прибыли, но предполагающую использование его способностей и имущества для удовлетворения материальных потребностей и интересов. Например, к такой деятельности могут быть отнесены: благотворительность и меценатство; организация ассоциаций и союзов без целей извлечения прибыли. </w:t>
      </w:r>
    </w:p>
    <w:p w:rsidR="00CD09DB" w:rsidRPr="007634DE" w:rsidRDefault="00B8427F" w:rsidP="00CD09D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К числу </w:t>
      </w:r>
      <w:r w:rsidRPr="007634DE">
        <w:rPr>
          <w:rFonts w:ascii="Times New Roman" w:eastAsia="Times New Roman" w:hAnsi="Times New Roman"/>
          <w:bCs/>
          <w:color w:val="000000"/>
          <w:sz w:val="34"/>
          <w:szCs w:val="34"/>
          <w:lang w:eastAsia="ru-RU"/>
        </w:rPr>
        <w:t>субъектов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преступления следует отнести должностных лиц, чьи полномочия связаны с процедурой регистрации индивидуальных предпринимателей и юридических лиц, а также должностных лиц, определенных подобным образом в примечании к статье 285 УК, однако с тем условием, что их служебное положение позволяет им реально вмешиваться в законную предпринимательскую деятельность граждан и организаций.</w:t>
      </w:r>
      <w:proofErr w:type="gramEnd"/>
      <w:r w:rsidR="00CD09DB"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</w:t>
      </w:r>
      <w:r w:rsidR="00CD09DB"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Это могут быть работники налоговых, лицензионных, правоохранительных и иных контролирующих органов, другие государственные или муниципальные чиновники.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bCs/>
          <w:color w:val="000000"/>
          <w:sz w:val="34"/>
          <w:szCs w:val="34"/>
          <w:lang w:eastAsia="ru-RU"/>
        </w:rPr>
        <w:t>Объективная сторона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воспрепятствования законной предпринимательской или иной деятельности описана в законе с помощью пяти альтернативных действий и двух форм бездействия должностного лица.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К числу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действий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закон относит: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а)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неправомерный отказ в государственной регистрации индивидуального предпринимателя или юридического лица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. </w:t>
      </w: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Отказ на законных основаниях возможен в случаях (ст. 23 Федерального закона от 8 августа 2001 г. N 129-ФЗ "О государственной регистрации юридических лиц и индивидуальных предпринимателей"): а) непредставления заявителем необходимых для государственной регистрации документов; б) представления документов в ненадлежащий регистрирующий орган; в) несоблюдения нотариальной формы представляемых документов в случаях, если такая форма обязательна;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г) подписания неуполномоченным лицом заявления о государственной регистрации или заявления о внесении изменений в сведения о юридическом лице, содержащиеся в Едином государственном реестре юридических лиц; д) 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lastRenderedPageBreak/>
        <w:t>выхода участников общества с ограниченной ответственностью из общества, в результате которого в обществе не остается ни одного участника, а также выхода единственного участника общества с ограниченной ответственностью из общества и т.д.;</w:t>
      </w:r>
      <w:proofErr w:type="gramEnd"/>
    </w:p>
    <w:p w:rsidR="007523A5" w:rsidRPr="007634DE" w:rsidRDefault="007523A5" w:rsidP="007523A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Отказ должен быть сделан в письменной форме в тот же срок, что и решение о регистрации (по общему правилу в срок не более пяти рабочих дней со дня представления документов в регистрирующий орган).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б)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неправомерный отказ в выдаче специального разрешения (лицензии)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на право осуществления определенной деятельности. </w:t>
      </w: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Федеральный закон от 4 мая 2011 г. N 99-ФЗ "О лицензировании отдельных видов деятельности" установил перечень видов деятельности, на осуществление которых требуется разрешение (лицензия), порядок лицензирования, сроки (5 дней со дня получения заявления о предоставлении лицензии со всеми необходимыми документами), а также закрепил в п. 7 ст. 14 основания для законного отказа в выдаче лицензии.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К ним относятся: а)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 б) установленное в ходе проверки несоответствие соискателя лицензии лицензионным требованиям; в) наличие в отношении соискателя лицензии </w:t>
      </w: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решения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об аннулировании ранее выданной лицензии на такой вид деятельности;</w:t>
      </w:r>
    </w:p>
    <w:p w:rsidR="007523A5" w:rsidRPr="007634DE" w:rsidRDefault="007523A5" w:rsidP="007523A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Решение о выдаче или об отказе в выдаче лицензии, как правило, должно быть принято в течение 45 дней с момента предоставления всех необходимых документов;</w:t>
      </w:r>
    </w:p>
    <w:p w:rsidR="007523A5" w:rsidRPr="007634DE" w:rsidRDefault="007523A5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в)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ограничение прав и законных интересов индивидуального предпринимателя или юридического лица в зависимости от организационно-правовой формы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означает дискриминационный подход к различным субъектам экономической деятельности. Оно может выражаться, например, в запрете выдачи лицензий на 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lastRenderedPageBreak/>
        <w:t>определенный вид деятельности всем, за исключением муниципальных унитарных предприятий, и т.д.;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г)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ограничение самостоятельности либо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д)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иное незаконное вмешательство в деятельность индивидуального предпринимателя или юридического лица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. Закон не конкретизирует виды вмешательства в деятельность индивидуального предпринимателя или юридического лица. Следовательно, они могут быть любыми, но обязательно не основанными на действующем законе. Например, запрет на заключение с определенными предпринимателями договоров на реализацию товаров, установление предельного объема производства или сбыта продукции, принуждение к назначению определенных лиц на различные должности и т.д.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К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бездействию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закон относит: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уклонение от государственной регистрации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индивидуального предпринимателя или юридического лица или </w:t>
      </w:r>
      <w:r w:rsidRPr="007634DE"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  <w:t>от выдачи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специального разрешения (лицензии). В этих формах преступление будет считаться оконченным с момента истечения сроков, установленных для регистрации или выдачи лицензии при условии наличия законных оснований для совершения этих действий.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Наказание предусмотрено в виде штрафа в размере от двухсот тысяч до пятисот тысяч рублей или в размере заработной платы или иного дохода осужденного за период до восемнадцати месяцев,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за период до шести месяцев, либо обязательными работами на срок до трехсот шестидесяти часов.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Частью 2 предусмотрена ответственность за воспрепятствование законной предпринимательской деятельности в нарушение вступившего в законную силу судебного акта и причинившее крупный ущерб.</w:t>
      </w:r>
    </w:p>
    <w:p w:rsidR="001772A4" w:rsidRPr="007634DE" w:rsidRDefault="001772A4" w:rsidP="001772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Вступившим в законную силу судебным актом является решение суда о признании незаконных действий (бездействия) должностного лица, нарушающих или ограничивающих права и законные интересы индивидуального предпринимателя или юридического лица. Этот судебный акт может быть вынесен арбитражным судом или судом общей юрисдикции.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/>
          <w:bCs/>
          <w:color w:val="000000"/>
          <w:sz w:val="34"/>
          <w:szCs w:val="34"/>
          <w:lang w:eastAsia="ru-RU"/>
        </w:rPr>
        <w:t>Крупный размер</w:t>
      </w:r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ущерба выражается как в виде реального материального ущерба, так и в виде упущенной выгоды. В сумме он должен превышать 1,5 млн. руб.</w:t>
      </w:r>
    </w:p>
    <w:p w:rsidR="00B8427F" w:rsidRPr="007634DE" w:rsidRDefault="00B8427F" w:rsidP="00B8427F">
      <w:pPr>
        <w:spacing w:after="0" w:line="240" w:lineRule="auto"/>
        <w:ind w:firstLine="540"/>
        <w:jc w:val="both"/>
        <w:rPr>
          <w:rFonts w:ascii="Verdana" w:eastAsia="Times New Roman" w:hAnsi="Verdana"/>
          <w:color w:val="000000"/>
          <w:sz w:val="34"/>
          <w:szCs w:val="34"/>
          <w:lang w:eastAsia="ru-RU"/>
        </w:rPr>
      </w:pPr>
      <w:proofErr w:type="gramStart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>Данные действия 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года, либо обязательными работами на срок до четырехсот восьмидесяти часов, либо принудительными работами на срок до трех лет, либо</w:t>
      </w:r>
      <w:proofErr w:type="gramEnd"/>
      <w:r w:rsidRPr="007634DE">
        <w:rPr>
          <w:rFonts w:ascii="Times New Roman" w:eastAsia="Times New Roman" w:hAnsi="Times New Roman"/>
          <w:color w:val="000000"/>
          <w:sz w:val="34"/>
          <w:szCs w:val="34"/>
          <w:lang w:eastAsia="ru-RU"/>
        </w:rPr>
        <w:t xml:space="preserve"> арестом на срок до шести месяцев, либо лишением свободы на срок до трех лет.</w:t>
      </w:r>
    </w:p>
    <w:p w:rsidR="001772A4" w:rsidRPr="007634DE" w:rsidRDefault="001772A4" w:rsidP="001772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Лицо, совершившее данное деяние при наличии признаков взяточничества, подлежит привлечению к уголовной ответственности и по ст. 290 УК РФ.</w:t>
      </w:r>
    </w:p>
    <w:p w:rsidR="001772A4" w:rsidRPr="007634DE" w:rsidRDefault="001772A4" w:rsidP="001772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7634DE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Воспрепятствование законной предпринимательской или иной деятельности в нарушение вступившего в законную силу судебного акта (ч. 2 ст. 169 УК РФ) является специальной нормой и по отношению к неисполнению приговора суда, решения суда или иного судебного акта (ст. 315 УК РФ).</w:t>
      </w:r>
    </w:p>
    <w:p w:rsidR="00F04C9F" w:rsidRPr="007634DE" w:rsidRDefault="00F04C9F" w:rsidP="002F08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  <w:bookmarkStart w:id="0" w:name="_GoBack"/>
      <w:bookmarkEnd w:id="0"/>
    </w:p>
    <w:p w:rsidR="007634DE" w:rsidRPr="007634DE" w:rsidRDefault="007634DE" w:rsidP="007634DE">
      <w:pPr>
        <w:ind w:firstLine="567"/>
        <w:jc w:val="both"/>
        <w:rPr>
          <w:rFonts w:ascii="Times New Roman" w:hAnsi="Times New Roman" w:cs="Times New Roman"/>
          <w:sz w:val="34"/>
          <w:szCs w:val="34"/>
        </w:rPr>
      </w:pPr>
      <w:r w:rsidRPr="007634DE">
        <w:rPr>
          <w:rFonts w:ascii="Times New Roman" w:hAnsi="Times New Roman" w:cs="Times New Roman"/>
          <w:sz w:val="34"/>
          <w:szCs w:val="34"/>
        </w:rPr>
        <w:t xml:space="preserve">Необходимую информацию по вопросам противодействия коррупции можно получить на официальном сайте прокуратуры республики – proc.gov12.ru. </w:t>
      </w:r>
    </w:p>
    <w:p w:rsidR="007634DE" w:rsidRPr="007634DE" w:rsidRDefault="007634DE" w:rsidP="007634DE">
      <w:pPr>
        <w:ind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634DE">
        <w:rPr>
          <w:rFonts w:ascii="Times New Roman" w:hAnsi="Times New Roman" w:cs="Times New Roman"/>
          <w:sz w:val="34"/>
          <w:szCs w:val="34"/>
        </w:rPr>
        <w:t>Телефон доверия прокуратуры республики – 45-09-57.</w:t>
      </w: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p w:rsidR="00170777" w:rsidRPr="007634DE" w:rsidRDefault="00170777" w:rsidP="00F5103F">
      <w:pPr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lang w:eastAsia="ru-RU"/>
        </w:rPr>
      </w:pPr>
    </w:p>
    <w:sectPr w:rsidR="00170777" w:rsidRPr="007634DE" w:rsidSect="00215581">
      <w:pgSz w:w="11906" w:h="16838" w:code="9"/>
      <w:pgMar w:top="113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AB" w:rsidRDefault="000F58AB" w:rsidP="008E5F98">
      <w:pPr>
        <w:spacing w:after="0" w:line="240" w:lineRule="auto"/>
      </w:pPr>
      <w:r>
        <w:separator/>
      </w:r>
    </w:p>
  </w:endnote>
  <w:endnote w:type="continuationSeparator" w:id="0">
    <w:p w:rsidR="000F58AB" w:rsidRDefault="000F58AB" w:rsidP="008E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AB" w:rsidRDefault="000F58AB" w:rsidP="008E5F98">
      <w:pPr>
        <w:spacing w:after="0" w:line="240" w:lineRule="auto"/>
      </w:pPr>
      <w:r>
        <w:separator/>
      </w:r>
    </w:p>
  </w:footnote>
  <w:footnote w:type="continuationSeparator" w:id="0">
    <w:p w:rsidR="000F58AB" w:rsidRDefault="000F58AB" w:rsidP="008E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58"/>
    <w:multiLevelType w:val="multilevel"/>
    <w:tmpl w:val="F44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D174B"/>
    <w:multiLevelType w:val="multilevel"/>
    <w:tmpl w:val="A16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4653F"/>
    <w:multiLevelType w:val="multilevel"/>
    <w:tmpl w:val="DBD2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A5BCC"/>
    <w:multiLevelType w:val="multilevel"/>
    <w:tmpl w:val="DA18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C64F1"/>
    <w:multiLevelType w:val="multilevel"/>
    <w:tmpl w:val="98C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5245F9"/>
    <w:multiLevelType w:val="multilevel"/>
    <w:tmpl w:val="34AA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7"/>
    <w:rsid w:val="000173A2"/>
    <w:rsid w:val="000F58AB"/>
    <w:rsid w:val="00170777"/>
    <w:rsid w:val="001772A4"/>
    <w:rsid w:val="001D38BD"/>
    <w:rsid w:val="00215581"/>
    <w:rsid w:val="002C5598"/>
    <w:rsid w:val="002F08ED"/>
    <w:rsid w:val="00351AC4"/>
    <w:rsid w:val="0037209F"/>
    <w:rsid w:val="003B7B7D"/>
    <w:rsid w:val="003C64AF"/>
    <w:rsid w:val="00404CF2"/>
    <w:rsid w:val="00410281"/>
    <w:rsid w:val="004571BC"/>
    <w:rsid w:val="0049083A"/>
    <w:rsid w:val="004C4BE2"/>
    <w:rsid w:val="004D1196"/>
    <w:rsid w:val="00543000"/>
    <w:rsid w:val="00582004"/>
    <w:rsid w:val="006459A5"/>
    <w:rsid w:val="00675181"/>
    <w:rsid w:val="007523A5"/>
    <w:rsid w:val="00752507"/>
    <w:rsid w:val="007634DE"/>
    <w:rsid w:val="007918B7"/>
    <w:rsid w:val="007C009F"/>
    <w:rsid w:val="008C117E"/>
    <w:rsid w:val="008E5F98"/>
    <w:rsid w:val="00976732"/>
    <w:rsid w:val="009853FB"/>
    <w:rsid w:val="009C04D8"/>
    <w:rsid w:val="00A055C4"/>
    <w:rsid w:val="00AA34C8"/>
    <w:rsid w:val="00AA5901"/>
    <w:rsid w:val="00B235DB"/>
    <w:rsid w:val="00B3206F"/>
    <w:rsid w:val="00B8427F"/>
    <w:rsid w:val="00C422D6"/>
    <w:rsid w:val="00C538C1"/>
    <w:rsid w:val="00C8284C"/>
    <w:rsid w:val="00CD09DB"/>
    <w:rsid w:val="00CF40A3"/>
    <w:rsid w:val="00D0071D"/>
    <w:rsid w:val="00D15760"/>
    <w:rsid w:val="00D544B4"/>
    <w:rsid w:val="00D66E57"/>
    <w:rsid w:val="00DA30D2"/>
    <w:rsid w:val="00E753FB"/>
    <w:rsid w:val="00ED5F8E"/>
    <w:rsid w:val="00F04C9F"/>
    <w:rsid w:val="00F11D96"/>
    <w:rsid w:val="00F14FCA"/>
    <w:rsid w:val="00F34C2D"/>
    <w:rsid w:val="00F43187"/>
    <w:rsid w:val="00F5103F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F2"/>
  </w:style>
  <w:style w:type="paragraph" w:styleId="3">
    <w:name w:val="heading 3"/>
    <w:basedOn w:val="a"/>
    <w:link w:val="30"/>
    <w:uiPriority w:val="9"/>
    <w:qFormat/>
    <w:rsid w:val="000F5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F98"/>
  </w:style>
  <w:style w:type="paragraph" w:styleId="a5">
    <w:name w:val="footer"/>
    <w:basedOn w:val="a"/>
    <w:link w:val="a6"/>
    <w:uiPriority w:val="99"/>
    <w:unhideWhenUsed/>
    <w:rsid w:val="008E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F98"/>
  </w:style>
  <w:style w:type="character" w:styleId="a7">
    <w:name w:val="Hyperlink"/>
    <w:basedOn w:val="a0"/>
    <w:uiPriority w:val="99"/>
    <w:unhideWhenUsed/>
    <w:rsid w:val="003B7B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7B7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AA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90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C009F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F5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0F58AB"/>
    <w:rPr>
      <w:b/>
      <w:bCs/>
    </w:rPr>
  </w:style>
  <w:style w:type="paragraph" w:styleId="ac">
    <w:name w:val="Normal (Web)"/>
    <w:basedOn w:val="a"/>
    <w:uiPriority w:val="99"/>
    <w:semiHidden/>
    <w:unhideWhenUsed/>
    <w:rsid w:val="000F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8AB"/>
  </w:style>
  <w:style w:type="paragraph" w:customStyle="1" w:styleId="ConsNonformat">
    <w:name w:val="ConsNonformat"/>
    <w:link w:val="ConsNonformat0"/>
    <w:uiPriority w:val="99"/>
    <w:rsid w:val="00582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58200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F2"/>
  </w:style>
  <w:style w:type="paragraph" w:styleId="3">
    <w:name w:val="heading 3"/>
    <w:basedOn w:val="a"/>
    <w:link w:val="30"/>
    <w:uiPriority w:val="9"/>
    <w:qFormat/>
    <w:rsid w:val="000F5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F98"/>
  </w:style>
  <w:style w:type="paragraph" w:styleId="a5">
    <w:name w:val="footer"/>
    <w:basedOn w:val="a"/>
    <w:link w:val="a6"/>
    <w:uiPriority w:val="99"/>
    <w:unhideWhenUsed/>
    <w:rsid w:val="008E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F98"/>
  </w:style>
  <w:style w:type="character" w:styleId="a7">
    <w:name w:val="Hyperlink"/>
    <w:basedOn w:val="a0"/>
    <w:uiPriority w:val="99"/>
    <w:unhideWhenUsed/>
    <w:rsid w:val="003B7B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7B7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AA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90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C009F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F5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0F58AB"/>
    <w:rPr>
      <w:b/>
      <w:bCs/>
    </w:rPr>
  </w:style>
  <w:style w:type="paragraph" w:styleId="ac">
    <w:name w:val="Normal (Web)"/>
    <w:basedOn w:val="a"/>
    <w:uiPriority w:val="99"/>
    <w:semiHidden/>
    <w:unhideWhenUsed/>
    <w:rsid w:val="000F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8AB"/>
  </w:style>
  <w:style w:type="paragraph" w:customStyle="1" w:styleId="ConsNonformat">
    <w:name w:val="ConsNonformat"/>
    <w:link w:val="ConsNonformat0"/>
    <w:uiPriority w:val="99"/>
    <w:rsid w:val="00582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5820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52FD-8E9D-41C5-BAFE-F5DD2D9D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Светлана Александровна</dc:creator>
  <cp:lastModifiedBy>admmariel</cp:lastModifiedBy>
  <cp:revision>2</cp:revision>
  <cp:lastPrinted>2020-10-12T10:49:00Z</cp:lastPrinted>
  <dcterms:created xsi:type="dcterms:W3CDTF">2020-10-12T10:50:00Z</dcterms:created>
  <dcterms:modified xsi:type="dcterms:W3CDTF">2020-10-12T10:50:00Z</dcterms:modified>
</cp:coreProperties>
</file>