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95F73" w14:textId="77777777" w:rsidR="00C83312" w:rsidRDefault="00C83312" w:rsidP="00C83312">
      <w:pPr>
        <w:widowControl w:val="0"/>
        <w:shd w:val="clear" w:color="auto" w:fill="FFFFFF"/>
        <w:ind w:firstLine="709"/>
        <w:rPr>
          <w:szCs w:val="28"/>
        </w:rPr>
      </w:pPr>
      <w:r>
        <w:rPr>
          <w:spacing w:val="-2"/>
          <w:szCs w:val="28"/>
        </w:rPr>
        <w:t>При проведении антикоррупционной экспертизы в 2021 году в</w:t>
      </w:r>
      <w:r>
        <w:rPr>
          <w:szCs w:val="28"/>
        </w:rPr>
        <w:t>ыявлено 6 (9) региональных и 423 (195) муниципальных правовых акта, которые могли повлечь коррупционные действия или решения субъектов правоприменения. Из 429 (209) нормативных правовых актов 39 (56) противоречили действующему законодательству.</w:t>
      </w:r>
    </w:p>
    <w:p w14:paraId="121F93AD" w14:textId="77777777" w:rsidR="00C83312" w:rsidRDefault="00C83312" w:rsidP="00C83312">
      <w:pPr>
        <w:widowControl w:val="0"/>
        <w:shd w:val="clear" w:color="auto" w:fill="FFFFFF"/>
        <w:ind w:firstLine="709"/>
        <w:rPr>
          <w:szCs w:val="28"/>
        </w:rPr>
      </w:pPr>
      <w:r>
        <w:rPr>
          <w:szCs w:val="28"/>
        </w:rPr>
        <w:t>В региональных нормативных правовых актах выявлено 9 (27) коррупциогенных факторов, в муниципальных правовых актах представительных органов – 387 (83), в нормативных правовых актах исполнительных органов местного самоуправления – 136 (262).</w:t>
      </w:r>
    </w:p>
    <w:p w14:paraId="6070FF9B" w14:textId="77777777" w:rsidR="00C83312" w:rsidRDefault="00C83312" w:rsidP="00C83312">
      <w:pPr>
        <w:widowControl w:val="0"/>
        <w:shd w:val="clear" w:color="auto" w:fill="FFFFFF"/>
        <w:ind w:firstLine="709"/>
        <w:rPr>
          <w:szCs w:val="28"/>
        </w:rPr>
      </w:pPr>
      <w:r>
        <w:rPr>
          <w:szCs w:val="28"/>
        </w:rPr>
        <w:t>В целях исключения норм, способствующих созданию условий для проявления коррупции, принесено 30 (56) протестов, внесено 399 (146) требований об изменении нормативных правовых актов.</w:t>
      </w:r>
    </w:p>
    <w:p w14:paraId="6A0ABA24" w14:textId="77777777" w:rsidR="00C83312" w:rsidRDefault="00C83312" w:rsidP="00C83312">
      <w:pPr>
        <w:widowControl w:val="0"/>
        <w:shd w:val="clear" w:color="auto" w:fill="FFFFFF"/>
        <w:ind w:firstLine="709"/>
        <w:rPr>
          <w:szCs w:val="28"/>
        </w:rPr>
      </w:pPr>
      <w:r>
        <w:rPr>
          <w:szCs w:val="28"/>
        </w:rPr>
        <w:t>В результате вмешательства органов прокуратуры края из 403 (221) актов исключено 528 (396) коррупциогенных факторов.</w:t>
      </w:r>
    </w:p>
    <w:p w14:paraId="3893F94E" w14:textId="77777777" w:rsidR="00C83312" w:rsidRDefault="00C83312" w:rsidP="00C83312">
      <w:pPr>
        <w:widowControl w:val="0"/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На заседаниях АКЗС требования не рассматривались, на заседаниях представительных органов местного самоуправления рассмотрено 291 требование с участием руководителей органов прокуратуры. </w:t>
      </w:r>
    </w:p>
    <w:p w14:paraId="1FCFF357" w14:textId="77777777" w:rsidR="00C83312" w:rsidRDefault="00C83312" w:rsidP="00C83312">
      <w:pPr>
        <w:widowControl w:val="0"/>
        <w:shd w:val="clear" w:color="auto" w:fill="FFFFFF"/>
        <w:ind w:firstLine="709"/>
        <w:rPr>
          <w:szCs w:val="28"/>
        </w:rPr>
      </w:pPr>
      <w:r>
        <w:rPr>
          <w:szCs w:val="28"/>
        </w:rPr>
        <w:t>Фактов отклонения требований прокурора, рассмотрения требований без участия представителей органов прокуратуры не имелось.</w:t>
      </w:r>
    </w:p>
    <w:p w14:paraId="07B70775" w14:textId="77777777" w:rsidR="00C83312" w:rsidRDefault="00C83312" w:rsidP="00C83312">
      <w:pPr>
        <w:widowControl w:val="0"/>
        <w:shd w:val="clear" w:color="auto" w:fill="FFFFFF"/>
        <w:ind w:firstLine="709"/>
        <w:rPr>
          <w:szCs w:val="28"/>
        </w:rPr>
      </w:pPr>
      <w:r>
        <w:rPr>
          <w:szCs w:val="28"/>
        </w:rPr>
        <w:t>Значительный рост в 2,1 раза количества выявленных нормативных правовых актов, содержащих коррупциогенные факторы, связан с проведением повторной экспертизы муниципальных актов представительных органов местного самоуправления, регламентирующих регламенты их деятельности.</w:t>
      </w:r>
    </w:p>
    <w:p w14:paraId="13A5C57C" w14:textId="77777777" w:rsidR="00C83312" w:rsidRDefault="00C83312" w:rsidP="00C83312">
      <w:pPr>
        <w:widowControl w:val="0"/>
        <w:shd w:val="clear" w:color="auto" w:fill="FFFFFF"/>
        <w:ind w:firstLine="709"/>
        <w:rPr>
          <w:szCs w:val="28"/>
        </w:rPr>
      </w:pPr>
      <w:r>
        <w:rPr>
          <w:szCs w:val="28"/>
        </w:rPr>
        <w:t>В ходе проверки коллективного обращения граждан прокурором Немецкого национального района установлено отсутствие в Регламенте деятельности представительного органа оснований и порядка принятия решений председателем о проведении сессий в закрытом слушании.</w:t>
      </w:r>
    </w:p>
    <w:p w14:paraId="5995DF71" w14:textId="77777777" w:rsidR="00C83312" w:rsidRDefault="00C83312" w:rsidP="00C83312">
      <w:pPr>
        <w:widowControl w:val="0"/>
        <w:shd w:val="clear" w:color="auto" w:fill="FFFFFF"/>
        <w:ind w:firstLine="709"/>
        <w:rPr>
          <w:szCs w:val="28"/>
        </w:rPr>
      </w:pPr>
      <w:r>
        <w:rPr>
          <w:szCs w:val="28"/>
        </w:rPr>
        <w:t>Аналогичные факты установлены прокурорами в 264 муниципальных актах.</w:t>
      </w:r>
    </w:p>
    <w:p w14:paraId="65A9D122" w14:textId="77777777" w:rsidR="00C83312" w:rsidRDefault="00C83312" w:rsidP="00C83312">
      <w:pPr>
        <w:widowControl w:val="0"/>
        <w:shd w:val="clear" w:color="auto" w:fill="FFFFFF"/>
        <w:ind w:firstLine="709"/>
        <w:rPr>
          <w:szCs w:val="28"/>
        </w:rPr>
      </w:pPr>
      <w:r>
        <w:rPr>
          <w:szCs w:val="28"/>
        </w:rPr>
        <w:t>Анализ практики реализации полномочий по проведению антикоррупционной экспертизы показал, что с учетом установленной ст. 3 Федерального закона от 17.07.2009 № 172-ФЗ «Об антикоррупционной экспертизе нормативных правовых актов и проектов нормативных правовых актов» категории актов наибольшее количество коррупциогенных факторов выявлено в актах, регулирующих правоотношения в сфере прав и свобод человека и гражданина (63 % от общего количества), а также законодательства о государственной и муниципальной собственности (2,5%), оказания государственных и муниципальных услуг (11%), государственной и муниципальной службы (1,4%).</w:t>
      </w:r>
    </w:p>
    <w:p w14:paraId="3EC8F273" w14:textId="77777777" w:rsidR="00C83312" w:rsidRDefault="00C83312" w:rsidP="00C83312">
      <w:pPr>
        <w:widowControl w:val="0"/>
        <w:shd w:val="clear" w:color="auto" w:fill="FFFFFF"/>
        <w:ind w:firstLine="709"/>
        <w:rPr>
          <w:szCs w:val="28"/>
        </w:rPr>
      </w:pPr>
      <w:r>
        <w:rPr>
          <w:szCs w:val="28"/>
        </w:rPr>
        <w:t>На нормативные правовые акты, содержащие коррупциогенные факторы, вносились требования (93 %) и протесты (7 %).</w:t>
      </w:r>
    </w:p>
    <w:p w14:paraId="3E09EB3C" w14:textId="77777777" w:rsidR="00C83312" w:rsidRDefault="00C83312" w:rsidP="00C83312">
      <w:pPr>
        <w:widowControl w:val="0"/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Факты коррупции от действия коррупциогенных факторов на практике не выявлялись. </w:t>
      </w:r>
    </w:p>
    <w:p w14:paraId="1D924540" w14:textId="77777777" w:rsidR="00C83312" w:rsidRDefault="00C83312" w:rsidP="00C83312">
      <w:pPr>
        <w:widowControl w:val="0"/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Большую часть коррупциогенных факторов составляют: широта </w:t>
      </w:r>
      <w:r>
        <w:rPr>
          <w:szCs w:val="28"/>
        </w:rPr>
        <w:lastRenderedPageBreak/>
        <w:t>дискреционных полномочий – 70 %, отсутствие или неполнота административных процедур – 20 %, нормативные коллизии – 5 %, выборочное изменение объема прав – 2 %, определение компетенции по формуле «вправе» - 2 %, юридико-лингвистическая неопределенность – 1 %.</w:t>
      </w:r>
    </w:p>
    <w:p w14:paraId="0F7763AC" w14:textId="77777777" w:rsidR="00C83312" w:rsidRDefault="00C83312" w:rsidP="00C83312">
      <w:pPr>
        <w:widowControl w:val="0"/>
        <w:shd w:val="clear" w:color="auto" w:fill="FFFFFF"/>
        <w:ind w:firstLine="709"/>
        <w:rPr>
          <w:szCs w:val="28"/>
        </w:rPr>
      </w:pPr>
      <w:r>
        <w:rPr>
          <w:szCs w:val="28"/>
        </w:rPr>
        <w:t>Коррупциогенный фактор в виде широты дискреционных полномочий прокурором г. Новоалтайска выявлен в постановлении администрации города от 14.08.2018 №1358 «Об утверждении Порядка предоставления субсидий на возмещение затрат частным дошкольным образовательным учреждениям за счет субвенций, полученных из краевого бюджета», в котором отсутствовали основания для принятия решений об отказе в приеме документов. По требованию прокурора от 29.10.2021 коррупциогенный фактор исключен из муниципального акта.</w:t>
      </w:r>
    </w:p>
    <w:p w14:paraId="72377288" w14:textId="77777777" w:rsidR="00C83312" w:rsidRDefault="00C83312" w:rsidP="00C83312">
      <w:pPr>
        <w:widowControl w:val="0"/>
        <w:shd w:val="clear" w:color="auto" w:fill="FFFFFF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Прокурором края требование внесено 03.12.2021 на приказ Министерства строительства, транспорта, жилищно-коммунального хозяйства края от 18.09.2017 №456 «Об утверждении формы паспортов благоустройства дворовых территорий, общественных территорий, территорий, находящихся в ведении юридических лиц и индивидуальных предпринимателей, территорий индивидуальной жилой застройки территорий; паспорта благоустройства муниципального образования Алтайского края» (далее – Приказ).</w:t>
      </w:r>
    </w:p>
    <w:p w14:paraId="5431BC53" w14:textId="77777777" w:rsidR="00C83312" w:rsidRDefault="00C83312" w:rsidP="00C83312">
      <w:pPr>
        <w:widowControl w:val="0"/>
        <w:shd w:val="clear" w:color="auto" w:fill="FFFFFF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Приказ принят во исполнение </w:t>
      </w:r>
      <w:proofErr w:type="spellStart"/>
      <w:r>
        <w:rPr>
          <w:szCs w:val="28"/>
          <w:lang w:eastAsia="ru-RU"/>
        </w:rPr>
        <w:t>п.п</w:t>
      </w:r>
      <w:proofErr w:type="spellEnd"/>
      <w:r>
        <w:rPr>
          <w:szCs w:val="28"/>
          <w:lang w:eastAsia="ru-RU"/>
        </w:rPr>
        <w:t xml:space="preserve">. 2.4, 2.9 Порядка инвентаризации благоустройства дворовых территорий, общественных территорий, территорий, находящихся в ведении юридических лиц и индивидуальных предпринимателей, территорий индивидуальной жилой застройки, установленного приложением 6 к государственной программе края «Формирование современной городской среды на 2018-2022 </w:t>
      </w:r>
      <w:proofErr w:type="spellStart"/>
      <w:r>
        <w:rPr>
          <w:szCs w:val="28"/>
          <w:lang w:eastAsia="ru-RU"/>
        </w:rPr>
        <w:t>г.г</w:t>
      </w:r>
      <w:proofErr w:type="spellEnd"/>
      <w:r>
        <w:rPr>
          <w:szCs w:val="28"/>
          <w:lang w:eastAsia="ru-RU"/>
        </w:rPr>
        <w:t>.» (далее – Государственная программа края), утвержденной постановлением Правительства края от 31.08.2017 № 326 в рамках реализации мероприятий приоритетного проекта «Формирование комфортной городской среды», утвержденного президиумом Совета при Президенте Российской Федерации по стратегическому развитию и приоритетным проектам.</w:t>
      </w:r>
    </w:p>
    <w:p w14:paraId="13128BCE" w14:textId="77777777" w:rsidR="00C83312" w:rsidRDefault="00C83312" w:rsidP="00C83312">
      <w:pPr>
        <w:widowControl w:val="0"/>
        <w:shd w:val="clear" w:color="auto" w:fill="FFFFFF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Паспортом благоустройства дворовой территории, утвержденной Приложением 1 Приказа, не определены понятия частично благоустроенная, неблагоустроенная территория, минимальный набор малых архитектурных форм.</w:t>
      </w:r>
    </w:p>
    <w:p w14:paraId="498A1489" w14:textId="77777777" w:rsidR="00C83312" w:rsidRDefault="00C83312" w:rsidP="00C83312">
      <w:pPr>
        <w:widowControl w:val="0"/>
        <w:shd w:val="clear" w:color="auto" w:fill="FFFFFF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Кроме того, используемое в Приказе понятие благоустроенной территории не соответствует понятию, содержащемуся в Приложении 1 к Государственной программе края, поскольку не содержит требования к устройству (ремонту) дренажных и (или) водоотводных систем, входящих в минимальный перечень работ для определения благоустроенности территории.</w:t>
      </w:r>
    </w:p>
    <w:p w14:paraId="5142962C" w14:textId="77777777" w:rsidR="00C83312" w:rsidRDefault="00C83312" w:rsidP="00C83312">
      <w:pPr>
        <w:widowControl w:val="0"/>
        <w:shd w:val="clear" w:color="auto" w:fill="FFFFFF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Требование рассмотрено, готовится проект приказа о внесении соответствующих изменений.</w:t>
      </w:r>
    </w:p>
    <w:p w14:paraId="0287FDFD" w14:textId="77777777" w:rsidR="00C83312" w:rsidRDefault="00C83312" w:rsidP="00C83312">
      <w:pPr>
        <w:widowControl w:val="0"/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Органами прокуратуры края на предмет наличия коррупциогенных факторов изучено 21 234 (20 339) проекта нормативных правовых актов, из которых 104 (85) содержали коррупциогенные факторы (0,48%). Выявлено 136 </w:t>
      </w:r>
      <w:r>
        <w:rPr>
          <w:szCs w:val="28"/>
        </w:rPr>
        <w:lastRenderedPageBreak/>
        <w:t xml:space="preserve">(122) коррупциогенных факторов, исключены 133 (93) коррупциогенных фактора из 102 (73) проектов нормативных правовых актов. </w:t>
      </w:r>
    </w:p>
    <w:p w14:paraId="36278AE2" w14:textId="77777777" w:rsidR="00C83312" w:rsidRDefault="00C83312" w:rsidP="00C83312">
      <w:pPr>
        <w:widowControl w:val="0"/>
        <w:shd w:val="clear" w:color="auto" w:fill="FFFFFF"/>
        <w:ind w:firstLine="709"/>
        <w:rPr>
          <w:szCs w:val="28"/>
        </w:rPr>
      </w:pPr>
      <w:r>
        <w:rPr>
          <w:szCs w:val="28"/>
        </w:rPr>
        <w:t>Так, прокуратурой края дано отрицательное заключение на проект постановления АКЗС «Об утверждении положения о проведении конкурса по формированию Молодежного Парламента края», который содержал 3 коррупциогенных фактора в виде широты дискреционных полномочий. В проекте отсутствовали сроки проведения конкурса, процедура регистрации заявления и порядок оценки участников конкурса. При принятии проекта постановления коррупциогенные факторы исключены.</w:t>
      </w:r>
    </w:p>
    <w:p w14:paraId="2607CDE2" w14:textId="77777777" w:rsidR="00C83312" w:rsidRDefault="00C83312" w:rsidP="00C83312">
      <w:pPr>
        <w:widowControl w:val="0"/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Отрицательное заключение направлено прокурором </w:t>
      </w:r>
      <w:proofErr w:type="spellStart"/>
      <w:r>
        <w:rPr>
          <w:szCs w:val="28"/>
        </w:rPr>
        <w:t>Баевского</w:t>
      </w:r>
      <w:proofErr w:type="spellEnd"/>
      <w:r>
        <w:rPr>
          <w:szCs w:val="28"/>
        </w:rPr>
        <w:t xml:space="preserve"> района на проект постановления администрации района «Об утверждении положения по учету объектов незавершенного строительства на территории </w:t>
      </w:r>
      <w:proofErr w:type="spellStart"/>
      <w:r>
        <w:rPr>
          <w:szCs w:val="28"/>
        </w:rPr>
        <w:t>Баевского</w:t>
      </w:r>
      <w:proofErr w:type="spellEnd"/>
      <w:r>
        <w:rPr>
          <w:szCs w:val="28"/>
        </w:rPr>
        <w:t xml:space="preserve"> района, при строительстве которых были использованы средства всех уровней бюджетной системы Российской Федерации» ввиду отсутствия срока актуализации содержащихся в реестре объектов незавершенного строительства сведений. По результатам рассмотрения заключения коррупциогенный фактор исключен из проекта нормативного правового акта. </w:t>
      </w:r>
    </w:p>
    <w:p w14:paraId="0853E54D" w14:textId="77777777" w:rsidR="002A0449" w:rsidRDefault="002A0449">
      <w:bookmarkStart w:id="0" w:name="_GoBack"/>
      <w:bookmarkEnd w:id="0"/>
    </w:p>
    <w:sectPr w:rsidR="002A0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33F"/>
    <w:rsid w:val="002A0449"/>
    <w:rsid w:val="0090633F"/>
    <w:rsid w:val="00C8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102BC-25D7-493D-A8D0-0EDA2009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33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5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972</Words>
  <Characters>5547</Characters>
  <Application>Microsoft Office Word</Application>
  <DocSecurity>0</DocSecurity>
  <Lines>46</Lines>
  <Paragraphs>13</Paragraphs>
  <ScaleCrop>false</ScaleCrop>
  <Company>Прокуратура РФ</Company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Карташова Виктория Геннадьевна</dc:creator>
  <cp:keywords/>
  <dc:description/>
  <cp:lastModifiedBy>Карташова Виктория Геннадьевна</cp:lastModifiedBy>
  <cp:revision>3</cp:revision>
  <dcterms:created xsi:type="dcterms:W3CDTF">2023-09-22T03:33:00Z</dcterms:created>
  <dcterms:modified xsi:type="dcterms:W3CDTF">2023-09-22T03:34:00Z</dcterms:modified>
</cp:coreProperties>
</file>