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289" w:tblpY="-794"/>
        <w:tblW w:w="0" w:type="auto"/>
        <w:tblLook w:val="0000"/>
      </w:tblPr>
      <w:tblGrid>
        <w:gridCol w:w="10760"/>
      </w:tblGrid>
      <w:tr w:rsidR="00BA748D" w:rsidTr="00C31227">
        <w:trPr>
          <w:trHeight w:val="423"/>
        </w:trPr>
        <w:tc>
          <w:tcPr>
            <w:tcW w:w="10760" w:type="dxa"/>
          </w:tcPr>
          <w:p w:rsidR="00BA748D" w:rsidRPr="00BA748D" w:rsidRDefault="00BA748D" w:rsidP="00BA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зарегистрировано преступлений на территории Республики Тыва</w:t>
            </w:r>
          </w:p>
        </w:tc>
      </w:tr>
    </w:tbl>
    <w:p w:rsidR="00531D12" w:rsidRDefault="009F1CA7">
      <w:r w:rsidRPr="009F1CA7">
        <w:rPr>
          <w:noProof/>
          <w:lang w:eastAsia="ru-RU"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748D" w:rsidRDefault="00BA748D"/>
    <w:p w:rsidR="00BA748D" w:rsidRDefault="00BA748D"/>
    <w:p w:rsidR="00351B43" w:rsidRDefault="00351B43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8D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 особой тяжести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43950" cy="579606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преступлений </w:t>
      </w:r>
      <w:r>
        <w:rPr>
          <w:rFonts w:ascii="Times New Roman" w:hAnsi="Times New Roman" w:cs="Times New Roman"/>
          <w:b/>
          <w:sz w:val="24"/>
          <w:szCs w:val="24"/>
        </w:rPr>
        <w:t>экономической направленности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связанных с незаконным оборотом наркотиков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убийств и покушений на убийство (ст. ст. 30, 105, 106, 107 УК РФ)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227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ст. 111 УК РФ – умышленное причинение тяжкого вреда здоровью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ч. 4 ст. 111 УК РФ – умышленное причинение тяжкого вреда здоровью, повлекшее по неосторожности смерть потерпевшего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0863EC" w:rsidRP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863EC" w:rsidRPr="00C31227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A2" w:rsidRDefault="00DE1FA2" w:rsidP="00BA748D">
      <w:pPr>
        <w:spacing w:after="0" w:line="240" w:lineRule="auto"/>
      </w:pPr>
      <w:r>
        <w:separator/>
      </w:r>
    </w:p>
  </w:endnote>
  <w:endnote w:type="continuationSeparator" w:id="1">
    <w:p w:rsidR="00DE1FA2" w:rsidRDefault="00DE1FA2" w:rsidP="00B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A2" w:rsidRDefault="00DE1FA2" w:rsidP="00BA748D">
      <w:pPr>
        <w:spacing w:after="0" w:line="240" w:lineRule="auto"/>
      </w:pPr>
      <w:r>
        <w:separator/>
      </w:r>
    </w:p>
  </w:footnote>
  <w:footnote w:type="continuationSeparator" w:id="1">
    <w:p w:rsidR="00DE1FA2" w:rsidRDefault="00DE1FA2" w:rsidP="00BA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8D"/>
    <w:rsid w:val="000863EC"/>
    <w:rsid w:val="00095B8F"/>
    <w:rsid w:val="00211D29"/>
    <w:rsid w:val="00290885"/>
    <w:rsid w:val="00351B43"/>
    <w:rsid w:val="00530343"/>
    <w:rsid w:val="00531D12"/>
    <w:rsid w:val="007F3875"/>
    <w:rsid w:val="009C3C04"/>
    <w:rsid w:val="009F1CA7"/>
    <w:rsid w:val="00A623CE"/>
    <w:rsid w:val="00B6580B"/>
    <w:rsid w:val="00B76EF3"/>
    <w:rsid w:val="00BA748D"/>
    <w:rsid w:val="00C31227"/>
    <w:rsid w:val="00DE1FA2"/>
    <w:rsid w:val="00E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48D"/>
  </w:style>
  <w:style w:type="paragraph" w:styleId="a7">
    <w:name w:val="footer"/>
    <w:basedOn w:val="a"/>
    <w:link w:val="a8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3%20&#1084;&#1077;&#1089;%202018%20&#1075;&#1086;&#1076;&#1072;\&#1053;&#1072;%20&#1089;&#1072;&#1081;&#1090;\&#1047;&#1072;&#1088;&#1077;&#1075;%20&#1079;&#1072;%203%20&#1084;&#1077;&#1089;%202018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г.xlsx]Зарег'!$A$2:$A$12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г.xlsx]Зарег'!$B$2:$B$12</c:f>
              <c:numCache>
                <c:formatCode>General</c:formatCode>
                <c:ptCount val="11"/>
                <c:pt idx="0">
                  <c:v>5993</c:v>
                </c:pt>
                <c:pt idx="1">
                  <c:v>5554</c:v>
                </c:pt>
                <c:pt idx="2">
                  <c:v>5921</c:v>
                </c:pt>
                <c:pt idx="3">
                  <c:v>6138</c:v>
                </c:pt>
                <c:pt idx="4">
                  <c:v>6588</c:v>
                </c:pt>
                <c:pt idx="5">
                  <c:v>8439</c:v>
                </c:pt>
                <c:pt idx="6">
                  <c:v>10914</c:v>
                </c:pt>
                <c:pt idx="7">
                  <c:v>11668</c:v>
                </c:pt>
                <c:pt idx="8">
                  <c:v>688</c:v>
                </c:pt>
                <c:pt idx="9">
                  <c:v>1383</c:v>
                </c:pt>
                <c:pt idx="10">
                  <c:v>2225</c:v>
                </c:pt>
              </c:numCache>
            </c:numRef>
          </c:val>
        </c:ser>
        <c:overlap val="100"/>
        <c:axId val="75964416"/>
        <c:axId val="75965952"/>
      </c:barChart>
      <c:catAx>
        <c:axId val="75964416"/>
        <c:scaling>
          <c:orientation val="minMax"/>
        </c:scaling>
        <c:axPos val="b"/>
        <c:numFmt formatCode="General" sourceLinked="1"/>
        <c:tickLblPos val="nextTo"/>
        <c:crossAx val="75965952"/>
        <c:crosses val="autoZero"/>
        <c:auto val="1"/>
        <c:lblAlgn val="ctr"/>
        <c:lblOffset val="100"/>
      </c:catAx>
      <c:valAx>
        <c:axId val="75965952"/>
        <c:scaling>
          <c:orientation val="minMax"/>
        </c:scaling>
        <c:axPos val="l"/>
        <c:majorGridlines/>
        <c:numFmt formatCode="General" sourceLinked="1"/>
        <c:tickLblPos val="nextTo"/>
        <c:crossAx val="759644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г.xlsx]Особ тяжести'!$A$2:$A$12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г.xlsx]Особ тяжести'!$B$2:$B$12</c:f>
              <c:numCache>
                <c:formatCode>General</c:formatCode>
                <c:ptCount val="11"/>
                <c:pt idx="0">
                  <c:v>528</c:v>
                </c:pt>
                <c:pt idx="1">
                  <c:v>474</c:v>
                </c:pt>
                <c:pt idx="2">
                  <c:v>474</c:v>
                </c:pt>
                <c:pt idx="3">
                  <c:v>392</c:v>
                </c:pt>
                <c:pt idx="4">
                  <c:v>411</c:v>
                </c:pt>
                <c:pt idx="5">
                  <c:v>414</c:v>
                </c:pt>
                <c:pt idx="6">
                  <c:v>356</c:v>
                </c:pt>
                <c:pt idx="7">
                  <c:v>360</c:v>
                </c:pt>
                <c:pt idx="8">
                  <c:v>23</c:v>
                </c:pt>
                <c:pt idx="9">
                  <c:v>54</c:v>
                </c:pt>
                <c:pt idx="10">
                  <c:v>87</c:v>
                </c:pt>
              </c:numCache>
            </c:numRef>
          </c:val>
        </c:ser>
        <c:overlap val="100"/>
        <c:axId val="75983104"/>
        <c:axId val="75993088"/>
      </c:barChart>
      <c:catAx>
        <c:axId val="75983104"/>
        <c:scaling>
          <c:orientation val="minMax"/>
        </c:scaling>
        <c:axPos val="b"/>
        <c:numFmt formatCode="General" sourceLinked="1"/>
        <c:tickLblPos val="nextTo"/>
        <c:crossAx val="75993088"/>
        <c:crosses val="autoZero"/>
        <c:auto val="1"/>
        <c:lblAlgn val="ctr"/>
        <c:lblOffset val="100"/>
      </c:catAx>
      <c:valAx>
        <c:axId val="75993088"/>
        <c:scaling>
          <c:orientation val="minMax"/>
        </c:scaling>
        <c:axPos val="l"/>
        <c:majorGridlines/>
        <c:numFmt formatCode="General" sourceLinked="1"/>
        <c:tickLblPos val="nextTo"/>
        <c:crossAx val="759831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г.xlsx]Экон'!$A$2:$A$12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г.xlsx]Экон'!$B$2:$B$12</c:f>
              <c:numCache>
                <c:formatCode>General</c:formatCode>
                <c:ptCount val="11"/>
                <c:pt idx="0">
                  <c:v>386</c:v>
                </c:pt>
                <c:pt idx="1">
                  <c:v>200</c:v>
                </c:pt>
                <c:pt idx="2">
                  <c:v>164</c:v>
                </c:pt>
                <c:pt idx="3">
                  <c:v>145</c:v>
                </c:pt>
                <c:pt idx="4">
                  <c:v>148</c:v>
                </c:pt>
                <c:pt idx="5">
                  <c:v>168</c:v>
                </c:pt>
                <c:pt idx="6">
                  <c:v>204</c:v>
                </c:pt>
                <c:pt idx="7">
                  <c:v>215</c:v>
                </c:pt>
                <c:pt idx="8">
                  <c:v>15</c:v>
                </c:pt>
                <c:pt idx="9">
                  <c:v>32</c:v>
                </c:pt>
                <c:pt idx="10">
                  <c:v>60</c:v>
                </c:pt>
              </c:numCache>
            </c:numRef>
          </c:val>
        </c:ser>
        <c:overlap val="100"/>
        <c:axId val="76010240"/>
        <c:axId val="76011776"/>
      </c:barChart>
      <c:catAx>
        <c:axId val="76010240"/>
        <c:scaling>
          <c:orientation val="minMax"/>
        </c:scaling>
        <c:axPos val="b"/>
        <c:numFmt formatCode="General" sourceLinked="1"/>
        <c:tickLblPos val="nextTo"/>
        <c:crossAx val="76011776"/>
        <c:crosses val="autoZero"/>
        <c:auto val="1"/>
        <c:lblAlgn val="ctr"/>
        <c:lblOffset val="100"/>
      </c:catAx>
      <c:valAx>
        <c:axId val="76011776"/>
        <c:scaling>
          <c:orientation val="minMax"/>
        </c:scaling>
        <c:axPos val="l"/>
        <c:majorGridlines/>
        <c:numFmt formatCode="General" sourceLinked="1"/>
        <c:tickLblPos val="nextTo"/>
        <c:crossAx val="760102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г.xlsx]НОН'!$A$2:$A$12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г.xlsx]НОН'!$B$2:$B$12</c:f>
              <c:numCache>
                <c:formatCode>General</c:formatCode>
                <c:ptCount val="11"/>
                <c:pt idx="0">
                  <c:v>1144</c:v>
                </c:pt>
                <c:pt idx="1">
                  <c:v>1132</c:v>
                </c:pt>
                <c:pt idx="2">
                  <c:v>1221</c:v>
                </c:pt>
                <c:pt idx="3">
                  <c:v>994</c:v>
                </c:pt>
                <c:pt idx="4">
                  <c:v>1093</c:v>
                </c:pt>
                <c:pt idx="5">
                  <c:v>1140</c:v>
                </c:pt>
                <c:pt idx="6">
                  <c:v>1057</c:v>
                </c:pt>
                <c:pt idx="7">
                  <c:v>1036</c:v>
                </c:pt>
                <c:pt idx="8">
                  <c:v>86</c:v>
                </c:pt>
                <c:pt idx="9">
                  <c:v>193</c:v>
                </c:pt>
                <c:pt idx="10">
                  <c:v>276</c:v>
                </c:pt>
              </c:numCache>
            </c:numRef>
          </c:val>
        </c:ser>
        <c:overlap val="100"/>
        <c:axId val="76041216"/>
        <c:axId val="76055296"/>
      </c:barChart>
      <c:catAx>
        <c:axId val="76041216"/>
        <c:scaling>
          <c:orientation val="minMax"/>
        </c:scaling>
        <c:axPos val="b"/>
        <c:numFmt formatCode="General" sourceLinked="1"/>
        <c:tickLblPos val="nextTo"/>
        <c:crossAx val="76055296"/>
        <c:crosses val="autoZero"/>
        <c:auto val="1"/>
        <c:lblAlgn val="ctr"/>
        <c:lblOffset val="100"/>
      </c:catAx>
      <c:valAx>
        <c:axId val="76055296"/>
        <c:scaling>
          <c:orientation val="minMax"/>
        </c:scaling>
        <c:axPos val="l"/>
        <c:majorGridlines/>
        <c:numFmt formatCode="General" sourceLinked="1"/>
        <c:tickLblPos val="nextTo"/>
        <c:crossAx val="760412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г.xlsx]Убийств'!$A$2:$A$12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г.xlsx]Убийств'!$B$2:$B$12</c:f>
              <c:numCache>
                <c:formatCode>General</c:formatCode>
                <c:ptCount val="11"/>
                <c:pt idx="0">
                  <c:v>171</c:v>
                </c:pt>
                <c:pt idx="1">
                  <c:v>140</c:v>
                </c:pt>
                <c:pt idx="2">
                  <c:v>151</c:v>
                </c:pt>
                <c:pt idx="3">
                  <c:v>119</c:v>
                </c:pt>
                <c:pt idx="4">
                  <c:v>139</c:v>
                </c:pt>
                <c:pt idx="5">
                  <c:v>128</c:v>
                </c:pt>
                <c:pt idx="6">
                  <c:v>112</c:v>
                </c:pt>
                <c:pt idx="7">
                  <c:v>83</c:v>
                </c:pt>
                <c:pt idx="8">
                  <c:v>9</c:v>
                </c:pt>
                <c:pt idx="9">
                  <c:v>15</c:v>
                </c:pt>
                <c:pt idx="10">
                  <c:v>25</c:v>
                </c:pt>
              </c:numCache>
            </c:numRef>
          </c:val>
        </c:ser>
        <c:overlap val="100"/>
        <c:axId val="76072448"/>
        <c:axId val="76073984"/>
      </c:barChart>
      <c:catAx>
        <c:axId val="76072448"/>
        <c:scaling>
          <c:orientation val="minMax"/>
        </c:scaling>
        <c:axPos val="b"/>
        <c:numFmt formatCode="General" sourceLinked="1"/>
        <c:tickLblPos val="nextTo"/>
        <c:crossAx val="76073984"/>
        <c:crosses val="autoZero"/>
        <c:auto val="1"/>
        <c:lblAlgn val="ctr"/>
        <c:lblOffset val="100"/>
      </c:catAx>
      <c:valAx>
        <c:axId val="76073984"/>
        <c:scaling>
          <c:orientation val="minMax"/>
        </c:scaling>
        <c:axPos val="l"/>
        <c:majorGridlines/>
        <c:numFmt formatCode="General" sourceLinked="1"/>
        <c:tickLblPos val="nextTo"/>
        <c:crossAx val="7607244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г.xlsx]Убийств'!$A$2:$A$12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г.xlsx]УПТВЗ'!$B$2:$B$12</c:f>
              <c:numCache>
                <c:formatCode>General</c:formatCode>
                <c:ptCount val="11"/>
                <c:pt idx="0">
                  <c:v>602</c:v>
                </c:pt>
                <c:pt idx="1">
                  <c:v>568</c:v>
                </c:pt>
                <c:pt idx="2">
                  <c:v>554</c:v>
                </c:pt>
                <c:pt idx="3">
                  <c:v>433</c:v>
                </c:pt>
                <c:pt idx="4">
                  <c:v>449</c:v>
                </c:pt>
                <c:pt idx="5">
                  <c:v>368</c:v>
                </c:pt>
                <c:pt idx="6">
                  <c:v>395</c:v>
                </c:pt>
                <c:pt idx="7">
                  <c:v>395</c:v>
                </c:pt>
                <c:pt idx="8">
                  <c:v>30</c:v>
                </c:pt>
                <c:pt idx="9">
                  <c:v>61</c:v>
                </c:pt>
                <c:pt idx="10">
                  <c:v>105</c:v>
                </c:pt>
              </c:numCache>
            </c:numRef>
          </c:val>
        </c:ser>
        <c:overlap val="100"/>
        <c:axId val="77103104"/>
        <c:axId val="77104640"/>
      </c:barChart>
      <c:catAx>
        <c:axId val="77103104"/>
        <c:scaling>
          <c:orientation val="minMax"/>
        </c:scaling>
        <c:axPos val="b"/>
        <c:numFmt formatCode="General" sourceLinked="1"/>
        <c:tickLblPos val="nextTo"/>
        <c:crossAx val="77104640"/>
        <c:crosses val="autoZero"/>
        <c:auto val="1"/>
        <c:lblAlgn val="ctr"/>
        <c:lblOffset val="100"/>
      </c:catAx>
      <c:valAx>
        <c:axId val="77104640"/>
        <c:scaling>
          <c:orientation val="minMax"/>
        </c:scaling>
        <c:axPos val="l"/>
        <c:majorGridlines/>
        <c:numFmt formatCode="General" sourceLinked="1"/>
        <c:tickLblPos val="nextTo"/>
        <c:crossAx val="7710310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г.xlsx]Убийств'!$A$2:$A$12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г.xlsx]111-4'!$B$2:$B$12</c:f>
              <c:numCache>
                <c:formatCode>General</c:formatCode>
                <c:ptCount val="11"/>
                <c:pt idx="0">
                  <c:v>75</c:v>
                </c:pt>
                <c:pt idx="1">
                  <c:v>61</c:v>
                </c:pt>
                <c:pt idx="2">
                  <c:v>59</c:v>
                </c:pt>
                <c:pt idx="3">
                  <c:v>56</c:v>
                </c:pt>
                <c:pt idx="4">
                  <c:v>50</c:v>
                </c:pt>
                <c:pt idx="5">
                  <c:v>37</c:v>
                </c:pt>
                <c:pt idx="6">
                  <c:v>47</c:v>
                </c:pt>
                <c:pt idx="7">
                  <c:v>44</c:v>
                </c:pt>
                <c:pt idx="8">
                  <c:v>1</c:v>
                </c:pt>
                <c:pt idx="9">
                  <c:v>5</c:v>
                </c:pt>
                <c:pt idx="10">
                  <c:v>6</c:v>
                </c:pt>
              </c:numCache>
            </c:numRef>
          </c:val>
        </c:ser>
        <c:overlap val="100"/>
        <c:axId val="77134080"/>
        <c:axId val="77938688"/>
      </c:barChart>
      <c:catAx>
        <c:axId val="77134080"/>
        <c:scaling>
          <c:orientation val="minMax"/>
        </c:scaling>
        <c:axPos val="b"/>
        <c:numFmt formatCode="General" sourceLinked="1"/>
        <c:tickLblPos val="nextTo"/>
        <c:crossAx val="77938688"/>
        <c:crosses val="autoZero"/>
        <c:auto val="1"/>
        <c:lblAlgn val="ctr"/>
        <c:lblOffset val="100"/>
      </c:catAx>
      <c:valAx>
        <c:axId val="77938688"/>
        <c:scaling>
          <c:orientation val="minMax"/>
        </c:scaling>
        <c:axPos val="l"/>
        <c:majorGridlines/>
        <c:numFmt formatCode="General" sourceLinked="1"/>
        <c:tickLblPos val="nextTo"/>
        <c:crossAx val="771340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3 мес 2018 г.xlsx]Убийств'!$A$2:$A$12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</c:numCache>
            </c:numRef>
          </c:cat>
          <c:val>
            <c:numRef>
              <c:f>'[Зарег за 3 мес 2018 г.xlsx]Алко'!$B$2:$B$12</c:f>
              <c:numCache>
                <c:formatCode>General</c:formatCode>
                <c:ptCount val="11"/>
                <c:pt idx="0">
                  <c:v>1080</c:v>
                </c:pt>
                <c:pt idx="1">
                  <c:v>1308</c:v>
                </c:pt>
                <c:pt idx="2">
                  <c:v>1792</c:v>
                </c:pt>
                <c:pt idx="3">
                  <c:v>1929</c:v>
                </c:pt>
                <c:pt idx="4">
                  <c:v>1881</c:v>
                </c:pt>
                <c:pt idx="5">
                  <c:v>2002</c:v>
                </c:pt>
                <c:pt idx="6">
                  <c:v>2412</c:v>
                </c:pt>
                <c:pt idx="7">
                  <c:v>2442</c:v>
                </c:pt>
                <c:pt idx="8">
                  <c:v>120</c:v>
                </c:pt>
                <c:pt idx="9">
                  <c:v>336</c:v>
                </c:pt>
                <c:pt idx="10">
                  <c:v>568</c:v>
                </c:pt>
              </c:numCache>
            </c:numRef>
          </c:val>
        </c:ser>
        <c:overlap val="100"/>
        <c:axId val="77959936"/>
        <c:axId val="77961472"/>
      </c:barChart>
      <c:catAx>
        <c:axId val="77959936"/>
        <c:scaling>
          <c:orientation val="minMax"/>
        </c:scaling>
        <c:axPos val="b"/>
        <c:numFmt formatCode="General" sourceLinked="1"/>
        <c:tickLblPos val="nextTo"/>
        <c:crossAx val="77961472"/>
        <c:crosses val="autoZero"/>
        <c:auto val="1"/>
        <c:lblAlgn val="ctr"/>
        <c:lblOffset val="100"/>
      </c:catAx>
      <c:valAx>
        <c:axId val="77961472"/>
        <c:scaling>
          <c:orientation val="minMax"/>
        </c:scaling>
        <c:axPos val="l"/>
        <c:majorGridlines/>
        <c:numFmt formatCode="General" sourceLinked="1"/>
        <c:tickLblPos val="nextTo"/>
        <c:crossAx val="779599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 Дмитрий Владимирович</cp:lastModifiedBy>
  <cp:revision>6</cp:revision>
  <dcterms:created xsi:type="dcterms:W3CDTF">2018-03-18T08:46:00Z</dcterms:created>
  <dcterms:modified xsi:type="dcterms:W3CDTF">2018-04-17T07:36:00Z</dcterms:modified>
</cp:coreProperties>
</file>