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9E" w:rsidRDefault="009302D8" w:rsidP="009302D8">
      <w:r>
        <w:rPr>
          <w:noProof/>
          <w:lang w:eastAsia="ru-RU"/>
        </w:rPr>
        <w:drawing>
          <wp:inline distT="0" distB="0" distL="0" distR="0" wp14:anchorId="7F536019" wp14:editId="4FB2D1CE">
            <wp:extent cx="9222378" cy="6226628"/>
            <wp:effectExtent l="0" t="0" r="17145" b="222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45C3F" w:rsidRDefault="00B45C3F" w:rsidP="009302D8">
      <w:r>
        <w:rPr>
          <w:noProof/>
          <w:lang w:eastAsia="ru-RU"/>
        </w:rPr>
        <w:lastRenderedPageBreak/>
        <w:drawing>
          <wp:inline distT="0" distB="0" distL="0" distR="0" wp14:anchorId="25BC716B" wp14:editId="31911E8A">
            <wp:extent cx="9178835" cy="6156960"/>
            <wp:effectExtent l="0" t="0" r="22860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5C3F" w:rsidRDefault="00B45C3F" w:rsidP="009302D8">
      <w:r>
        <w:rPr>
          <w:noProof/>
          <w:lang w:eastAsia="ru-RU"/>
        </w:rPr>
        <w:lastRenderedPageBreak/>
        <w:drawing>
          <wp:inline distT="0" distB="0" distL="0" distR="0" wp14:anchorId="290490A7" wp14:editId="6171CDD8">
            <wp:extent cx="9161418" cy="6165668"/>
            <wp:effectExtent l="0" t="0" r="20955" b="260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B45C3F" w:rsidSect="0050528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81" w:rsidRDefault="00027F81" w:rsidP="00BA1BF3">
      <w:r>
        <w:separator/>
      </w:r>
    </w:p>
  </w:endnote>
  <w:endnote w:type="continuationSeparator" w:id="0">
    <w:p w:rsidR="00027F81" w:rsidRDefault="00027F81" w:rsidP="00BA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81" w:rsidRDefault="00027F81" w:rsidP="00BA1BF3">
      <w:r>
        <w:separator/>
      </w:r>
    </w:p>
  </w:footnote>
  <w:footnote w:type="continuationSeparator" w:id="0">
    <w:p w:rsidR="00027F81" w:rsidRDefault="00027F81" w:rsidP="00BA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87"/>
    <w:rsid w:val="00027F81"/>
    <w:rsid w:val="00057948"/>
    <w:rsid w:val="00151156"/>
    <w:rsid w:val="001A7BCC"/>
    <w:rsid w:val="001C2249"/>
    <w:rsid w:val="001D2854"/>
    <w:rsid w:val="00284000"/>
    <w:rsid w:val="0029619E"/>
    <w:rsid w:val="002A585D"/>
    <w:rsid w:val="002C1316"/>
    <w:rsid w:val="002E06FF"/>
    <w:rsid w:val="002E2AAD"/>
    <w:rsid w:val="0035501C"/>
    <w:rsid w:val="00472DD6"/>
    <w:rsid w:val="004B274C"/>
    <w:rsid w:val="00505287"/>
    <w:rsid w:val="00513F2D"/>
    <w:rsid w:val="00532A09"/>
    <w:rsid w:val="005E07D9"/>
    <w:rsid w:val="006276F7"/>
    <w:rsid w:val="0065771A"/>
    <w:rsid w:val="00685FDD"/>
    <w:rsid w:val="007D3EEF"/>
    <w:rsid w:val="0085615E"/>
    <w:rsid w:val="008D2B98"/>
    <w:rsid w:val="009302D8"/>
    <w:rsid w:val="00A02FC3"/>
    <w:rsid w:val="00A85E64"/>
    <w:rsid w:val="00B01806"/>
    <w:rsid w:val="00B45C3F"/>
    <w:rsid w:val="00B81CC5"/>
    <w:rsid w:val="00BA1BF3"/>
    <w:rsid w:val="00BD1859"/>
    <w:rsid w:val="00C161CA"/>
    <w:rsid w:val="00D930B8"/>
    <w:rsid w:val="00E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F3"/>
  </w:style>
  <w:style w:type="paragraph" w:styleId="a7">
    <w:name w:val="footer"/>
    <w:basedOn w:val="a"/>
    <w:link w:val="a8"/>
    <w:uiPriority w:val="99"/>
    <w:unhideWhenUsed/>
    <w:rsid w:val="00BA1B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исполнением законов, соблюдением прав и свобод человека и гражданина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08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законы'!$B$1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41010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законы'!$B$2</c:f>
              <c:numCache>
                <c:formatCode>General</c:formatCode>
                <c:ptCount val="1"/>
                <c:pt idx="0">
                  <c:v>11100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законы'!$C$1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законы'!$C$2</c:f>
              <c:numCache>
                <c:formatCode>General</c:formatCode>
                <c:ptCount val="1"/>
                <c:pt idx="0">
                  <c:v>3535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законы'!$D$1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законы'!$D$2</c:f>
              <c:numCache>
                <c:formatCode>General</c:formatCode>
                <c:ptCount val="1"/>
                <c:pt idx="0">
                  <c:v>9119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законы'!$E$1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законы'!$E$2</c:f>
              <c:numCache>
                <c:formatCode>General</c:formatCode>
                <c:ptCount val="1"/>
                <c:pt idx="0">
                  <c:v>8804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законы'!$F$1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законы'!$F$2</c:f>
              <c:numCache>
                <c:formatCode>General</c:formatCode>
                <c:ptCount val="1"/>
                <c:pt idx="0">
                  <c:v>4692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законы'!$G$1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законы'!$G$2</c:f>
              <c:numCache>
                <c:formatCode>General</c:formatCode>
                <c:ptCount val="1"/>
                <c:pt idx="0">
                  <c:v>2028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законы'!$H$1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6708712381826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законы'!$A$2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законы'!$H$2</c:f>
              <c:numCache>
                <c:formatCode>General</c:formatCode>
                <c:ptCount val="1"/>
                <c:pt idx="0">
                  <c:v>2223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871168"/>
        <c:axId val="118872704"/>
      </c:barChart>
      <c:catAx>
        <c:axId val="1188711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872704"/>
        <c:crosses val="autoZero"/>
        <c:auto val="1"/>
        <c:lblAlgn val="ctr"/>
        <c:lblOffset val="100"/>
        <c:noMultiLvlLbl val="0"/>
      </c:catAx>
      <c:valAx>
        <c:axId val="11887270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88711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576742065413516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области охраны окружающей среды и природопользования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за 08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окруж. среда'!$B$1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2353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среда'!$B$2</c:f>
              <c:numCache>
                <c:formatCode>General</c:formatCode>
                <c:ptCount val="1"/>
                <c:pt idx="0">
                  <c:v>900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окруж. среда'!$C$1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среда'!$C$2</c:f>
              <c:numCache>
                <c:formatCode>General</c:formatCode>
                <c:ptCount val="1"/>
                <c:pt idx="0">
                  <c:v>63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окруж. среда'!$D$1</c:f>
              <c:strCache>
                <c:ptCount val="1"/>
                <c:pt idx="0">
                  <c:v>Направлено исков, заявлений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среда'!$D$2</c:f>
              <c:numCache>
                <c:formatCode>General</c:formatCode>
                <c:ptCount val="1"/>
                <c:pt idx="0">
                  <c:v>238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окруж. среда'!$E$1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среда'!$E$2</c:f>
              <c:numCache>
                <c:formatCode>General</c:formatCode>
                <c:ptCount val="1"/>
                <c:pt idx="0">
                  <c:v>711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окруж. среда'!$F$1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среда'!$F$2</c:f>
              <c:numCache>
                <c:formatCode>General</c:formatCode>
                <c:ptCount val="1"/>
                <c:pt idx="0">
                  <c:v>378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окруж. среда'!$G$1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среда'!$G$2</c:f>
              <c:numCache>
                <c:formatCode>General</c:formatCode>
                <c:ptCount val="1"/>
                <c:pt idx="0">
                  <c:v>187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окруж. среда'!$H$1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окруж. среда'!$A$2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окруж. среда'!$H$2</c:f>
              <c:numCache>
                <c:formatCode>General</c:formatCode>
                <c:ptCount val="1"/>
                <c:pt idx="0">
                  <c:v>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744512"/>
        <c:axId val="118165888"/>
      </c:barChart>
      <c:catAx>
        <c:axId val="1137445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8165888"/>
        <c:crosses val="autoZero"/>
        <c:auto val="1"/>
        <c:lblAlgn val="ctr"/>
        <c:lblOffset val="100"/>
        <c:noMultiLvlLbl val="0"/>
      </c:catAx>
      <c:valAx>
        <c:axId val="1181658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37445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9315964370583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Основные показатели работы прокуратуры Республики Саха (Якутия) по надзору</a:t>
            </a:r>
          </a:p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за соблюдением законодательства в сфере соблюдения прав и интересов</a:t>
            </a:r>
          </a:p>
          <a:p>
            <a:pPr>
              <a:defRPr sz="1000"/>
            </a:pP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несовершеннолетних за 08 месяцев 2017 года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7459494663872512E-2"/>
          <c:y val="0.14210364377420415"/>
          <c:w val="0.71625407373229921"/>
          <c:h val="0.80142931199013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'Осн. пок. РП ОН - несовер-летн.'!$B$1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42419718388232E-3"/>
                  <c:y val="-2.08894325624145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11127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930357253141832E-4"/>
                  <c:y val="-2.2279908490051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несовер-летн.'!$B$2</c:f>
              <c:numCache>
                <c:formatCode>General</c:formatCode>
                <c:ptCount val="1"/>
                <c:pt idx="0">
                  <c:v>3600</c:v>
                </c:pt>
              </c:numCache>
            </c:numRef>
          </c:val>
        </c:ser>
        <c:ser>
          <c:idx val="1"/>
          <c:order val="1"/>
          <c:tx>
            <c:strRef>
              <c:f>'Осн. пок. РП ОН - несовер-летн.'!$C$1</c:f>
              <c:strCache>
                <c:ptCount val="1"/>
                <c:pt idx="0">
                  <c:v>Принесено протестов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639968415418144E-3"/>
                  <c:y val="-2.713592253754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50485438808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39968415418019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несовер-летн.'!$C$2</c:f>
              <c:numCache>
                <c:formatCode>General</c:formatCode>
                <c:ptCount val="1"/>
                <c:pt idx="0">
                  <c:v>932</c:v>
                </c:pt>
              </c:numCache>
            </c:numRef>
          </c:val>
        </c:ser>
        <c:ser>
          <c:idx val="2"/>
          <c:order val="2"/>
          <c:tx>
            <c:strRef>
              <c:f>'Осн. пок. РП ОН - несовер-летн.'!$D$1</c:f>
              <c:strCache>
                <c:ptCount val="1"/>
                <c:pt idx="0">
                  <c:v>Направлено исков в суд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несовер-летн.'!$D$2</c:f>
              <c:numCache>
                <c:formatCode>General</c:formatCode>
                <c:ptCount val="1"/>
                <c:pt idx="0">
                  <c:v>3001</c:v>
                </c:pt>
              </c:numCache>
            </c:numRef>
          </c:val>
        </c:ser>
        <c:ser>
          <c:idx val="3"/>
          <c:order val="3"/>
          <c:tx>
            <c:strRef>
              <c:f>'Осн. пок. РП ОН - несовер-летн.'!$E$1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несовер-летн.'!$E$2</c:f>
              <c:numCache>
                <c:formatCode>General</c:formatCode>
                <c:ptCount val="1"/>
                <c:pt idx="0">
                  <c:v>2095</c:v>
                </c:pt>
              </c:numCache>
            </c:numRef>
          </c:val>
        </c:ser>
        <c:ser>
          <c:idx val="4"/>
          <c:order val="4"/>
          <c:tx>
            <c:strRef>
              <c:f>'Осн. пок. РП ОН - несовер-летн.'!$F$1</c:f>
              <c:strCache>
                <c:ptCount val="1"/>
                <c:pt idx="0">
                  <c:v>Привлечено лиц к дисциплинарной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1839810492507856E-3"/>
                  <c:y val="-1.2524271940404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39968415418018E-2"/>
                  <c:y val="-1.461165059713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8199842077090091E-3"/>
                  <c:y val="-1.66990292538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несовер-летн.'!$F$2</c:f>
              <c:numCache>
                <c:formatCode>General</c:formatCode>
                <c:ptCount val="1"/>
                <c:pt idx="0">
                  <c:v>1363</c:v>
                </c:pt>
              </c:numCache>
            </c:numRef>
          </c:val>
        </c:ser>
        <c:ser>
          <c:idx val="5"/>
          <c:order val="5"/>
          <c:tx>
            <c:strRef>
              <c:f>'Осн. пок. РП ОН - несовер-летн.'!$G$1</c:f>
              <c:strCache>
                <c:ptCount val="1"/>
                <c:pt idx="0">
                  <c:v>Предостережено лиц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несовер-летн.'!$G$2</c:f>
              <c:numCache>
                <c:formatCode>General</c:formatCode>
                <c:ptCount val="1"/>
                <c:pt idx="0">
                  <c:v>510</c:v>
                </c:pt>
              </c:numCache>
            </c:numRef>
          </c:val>
        </c:ser>
        <c:ser>
          <c:idx val="6"/>
          <c:order val="6"/>
          <c:tx>
            <c:strRef>
              <c:f>'Осн. пок. РП ОН - несовер-летн.'!$H$1</c:f>
              <c:strCache>
                <c:ptCount val="1"/>
                <c:pt idx="0">
                  <c:v>Привлечено лиц к административной ответственности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823949464668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45995262312702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9119747323345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'Осн. пок. РП ОН - несовер-летн.'!$A$2</c:f>
              <c:strCache>
                <c:ptCount val="1"/>
                <c:pt idx="0">
                  <c:v>2017г.</c:v>
                </c:pt>
              </c:strCache>
            </c:strRef>
          </c:cat>
          <c:val>
            <c:numRef>
              <c:f>'Осн. пок. РП ОН - несовер-летн.'!$H$2</c:f>
              <c:numCache>
                <c:formatCode>General</c:formatCode>
                <c:ptCount val="1"/>
                <c:pt idx="0">
                  <c:v>491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271360"/>
        <c:axId val="117974144"/>
      </c:barChart>
      <c:catAx>
        <c:axId val="1182713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7974144"/>
        <c:crosses val="autoZero"/>
        <c:auto val="1"/>
        <c:lblAlgn val="ctr"/>
        <c:lblOffset val="100"/>
        <c:noMultiLvlLbl val="0"/>
      </c:catAx>
      <c:valAx>
        <c:axId val="11797414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118271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2157787154628"/>
          <c:y val="0.31194197547543745"/>
          <c:w val="0.22219444107920289"/>
          <c:h val="0.47437323579522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6</cp:revision>
  <dcterms:created xsi:type="dcterms:W3CDTF">2018-03-06T08:26:00Z</dcterms:created>
  <dcterms:modified xsi:type="dcterms:W3CDTF">2018-03-19T08:48:00Z</dcterms:modified>
</cp:coreProperties>
</file>