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59973046" wp14:editId="1823CB8B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Какова ситуация в  сфере защиты прав детей от преступлений в республике?</w:t>
      </w:r>
    </w:p>
    <w:p w:rsidR="00064154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В</w:t>
      </w:r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2018 году на 50,7%  возросло число преступлений (с 582 до 877) в отношении 870 (734) детей, а также их самоубийств (с 12 </w:t>
      </w:r>
      <w:proofErr w:type="gramStart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до</w:t>
      </w:r>
      <w:proofErr w:type="gramEnd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19). </w:t>
      </w: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Б</w:t>
      </w:r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ольшинство  данных преступлений связаны с  уклонением от уплаты алиментов, но в целом рост преступлений в отношении детей произошёл,  прежде всего, за сч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т преступлений против половой неприкосновенности</w:t>
      </w:r>
      <w:r w:rsidR="003F4BBF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</w:t>
      </w:r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несовершеннолетних (с 97 до 273, в </w:t>
      </w:r>
      <w:proofErr w:type="spellStart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т.ч</w:t>
      </w:r>
      <w:proofErr w:type="spellEnd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. 87 эпизодов в </w:t>
      </w:r>
      <w:proofErr w:type="spellStart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Хангаласском</w:t>
      </w:r>
      <w:proofErr w:type="spellEnd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районе)  и их жертв  (с 77 до 119), а также против жизни и здоровья (с 114 до 136) в отношении 133 (117</w:t>
      </w:r>
      <w:proofErr w:type="gramEnd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) детей.</w:t>
      </w:r>
    </w:p>
    <w:p w:rsidR="00AD572A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064154" w:rsidRPr="003F4BBF" w:rsidRDefault="00064154" w:rsidP="00AD572A">
      <w:pPr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noProof/>
          <w:color w:val="7030A0"/>
          <w:lang w:val="ru-RU" w:eastAsia="ru-RU" w:bidi="ar-SA"/>
        </w:rPr>
        <w:drawing>
          <wp:inline distT="0" distB="0" distL="0" distR="0" wp14:anchorId="484E55C0" wp14:editId="003C79ED">
            <wp:extent cx="900261" cy="657225"/>
            <wp:effectExtent l="0" t="0" r="0" b="0"/>
            <wp:docPr id="5" name="Рисунок 5" descr="ÐÐ°ÑÑÐ¸Ð½ÐºÐ¸ Ð¿Ð¾ Ð·Ð°Ð¿ÑÐ¾ÑÑ ÐÐÐ ÐÐÐ©ÐÐ¢ÐÐ¢Ð¬ ÐÐÐ¢ÐÐ ÐÐ¢ ÐÐ ÐÐ¡Ð¢Ð£ÐÐÐ«Ð¥ ÐÐÐ¡Ð¯ÐÐÐ¢ÐÐÐ¬Ð¡Ð¢Ð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ÐÐ ÐÐÐ©ÐÐ¢ÐÐ¢Ð¬ ÐÐÐ¢ÐÐ ÐÐ¢ ÐÐ ÐÐ¡Ð¢Ð£ÐÐÐ«Ð¥ ÐÐÐ¡Ð¯ÐÐÐ¢ÐÐÐ¬Ð¡Ð¢Ð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42" cy="6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A" w:rsidRPr="003F4BBF" w:rsidRDefault="00AD572A" w:rsidP="00AD572A">
      <w:pPr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А в чем причина такого роста и можно ли как-то повлиять, защитить наших детей?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Помимо социально-экономических условий это и последствия государственной политики, так как сейчас детей воспитывает поколение 90-х годов, и негативное влияние информационной среды, и нарушения органов профилактики, которые носят системный характер, в том числе из-за отсутствия  ведомственного контроля со стороны министерств и ведомств.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Например, рост убийств с покушением на детей (с 1 до 4) связан с отсутствием взаимодействия психиатров с органами опеки и полиции, неоказанием должной медицинской помощи. В результате в г. Якутске две матери, страдающие психическими заболеваниями, злоупотребляющие алкоголем, напали на своих малолетних детей, один из которых погиб. В этой связи прокурорами проведены соответствующие проверки, внесены меры реагирования, после которых к </w:t>
      </w: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контролю за</w:t>
      </w:r>
      <w:proofErr w:type="gram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воспитанием детей в таких семьях подключатся социальные органы, в случае семейного неблагополучия органы опеки и полиции. Надеюсь, в будущем это  позволит  исключить  причинение вреда жизни и здоровью детей.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color w:val="7030A0"/>
          <w:sz w:val="20"/>
          <w:szCs w:val="20"/>
          <w:lang w:val="ru-RU"/>
        </w:rPr>
        <w:t xml:space="preserve"> 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Значительная часть сексуальных преступлений в отношении детей совершается в семье или лицами,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lastRenderedPageBreak/>
        <w:t>хорошо знакомыми реб</w:t>
      </w:r>
      <w:r w:rsidR="000F0AFA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нку, что обусловливает высокую латентность этих деяний и является  одной из причин  их роста. </w:t>
      </w:r>
    </w:p>
    <w:p w:rsidR="00064154" w:rsidRPr="003F4BBF" w:rsidRDefault="00064154" w:rsidP="00064154">
      <w:pPr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noProof/>
          <w:color w:val="7030A0"/>
          <w:lang w:val="ru-RU" w:eastAsia="ru-RU" w:bidi="ar-SA"/>
        </w:rPr>
        <w:drawing>
          <wp:inline distT="0" distB="0" distL="0" distR="0" wp14:anchorId="2B1E1E0A" wp14:editId="3D732E2A">
            <wp:extent cx="942975" cy="628650"/>
            <wp:effectExtent l="0" t="0" r="0" b="0"/>
            <wp:docPr id="7" name="Рисунок 7" descr="ÐÐ°ÑÑÐ¸Ð½ÐºÐ¸ Ð¿Ð¾ Ð·Ð°Ð¿ÑÐ¾ÑÑ Ð¡ÐÐÐ¡Ð£ÐÐÐ¬ÐÐÐ ÐÐÐ¡ÐÐÐÐ Ð ÐÐ¢ÐÐÐ¨ÐÐÐÐ ÐÐÐ¢ÐÐ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¡ÐÐÐ¡Ð£ÐÐÐ¬ÐÐÐ ÐÐÐ¡ÐÐÐÐ Ð ÐÐ¢ÐÐÐ¨ÐÐÐÐ ÐÐÐ¢ÐÐ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92" cy="6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A" w:rsidRPr="003F4BBF" w:rsidRDefault="00AD572A" w:rsidP="00064154">
      <w:pPr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Но если сам ребёнок молчит, не </w:t>
      </w:r>
      <w:proofErr w:type="gramStart"/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делится</w:t>
      </w:r>
      <w:proofErr w:type="gramEnd"/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даже с матерью либо она  покрывает такие факты, должны же быть способы выявления таких преступлений?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 w:eastAsia="ru-RU"/>
        </w:rPr>
        <w:t>Согласно ч. 1 ст. 56 Семейного кодекса РФ реб</w:t>
      </w:r>
      <w:r w:rsidR="003F4BBF">
        <w:rPr>
          <w:rFonts w:ascii="Times New Roman" w:hAnsi="Times New Roman"/>
          <w:color w:val="7030A0"/>
          <w:sz w:val="20"/>
          <w:szCs w:val="20"/>
          <w:lang w:val="ru-RU" w:eastAsia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 w:eastAsia="ru-RU"/>
        </w:rPr>
        <w:t>нок имеет право на защиту своих прав  от злоупотреблений со стороны родителей (лиц, их заменяющих). Защита прав  реб</w:t>
      </w:r>
      <w:r w:rsidR="003F4BBF">
        <w:rPr>
          <w:rFonts w:ascii="Times New Roman" w:hAnsi="Times New Roman"/>
          <w:color w:val="7030A0"/>
          <w:sz w:val="20"/>
          <w:szCs w:val="20"/>
          <w:lang w:val="ru-RU" w:eastAsia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 w:eastAsia="ru-RU"/>
        </w:rPr>
        <w:t>нка осуществляется родителями, органом опеки и попечительства, прокурором и судом.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Если же родители бездействуют либо не знают о происходящем, факты сексуального насилия должны выявляться при проведении ежегодных медицинских осмотров и психологических  тестирований в образовательных организациях  в силу ст.9 Закона № 120. Однако практически о таких преступлениях становится известно только по обращениям в органы полиции либо тогда, когда к врачам обращаются по поводу аборта или родов.  К сожалению, медработники больше озабочены соблюдением врачебной тайны и своим спокойствием, забывая о том, что федеральным законодателем установлен возраст половой неприкосновенности несовершеннолетних - 16 лет и его нарушение, даже при наличии добровольного согласия это уголовно-наказуемое деяние (ст.134 УК РФ).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Ещ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в апреле 2003 года Конституционный суд РФ указал, что при конкуренции таких прав, как неприкосновенность частной жизни и  защита  жизни и здоровья, приоритет должен отдаваться последним.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Кроме того, </w:t>
      </w:r>
      <w:r w:rsidRPr="003F4BBF">
        <w:rPr>
          <w:rFonts w:ascii="Times New Roman" w:hAnsi="Times New Roman"/>
          <w:color w:val="7030A0"/>
          <w:sz w:val="20"/>
          <w:szCs w:val="20"/>
          <w:lang w:val="ru-RU" w:eastAsia="ru-RU"/>
        </w:rPr>
        <w:t>согласно ч.3 ст.41 Конституции РФ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сокрытие должностными лицами фактов и обстоятельств, создающих угрозу для жизни и здоровья людей, влеч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т за собой ответственность в соответствии с федеральным законом.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Также медицинскими и педагогическими работниками не </w:t>
      </w: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проводится</w:t>
      </w:r>
      <w:proofErr w:type="gram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должная разъяснительная работа с родителями о необходимости осмотра гинекологами, недопустимости ранней половой жизни, своевременного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ее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выявления, в том числе в целях предупреждения заболеваний, передающихся половым пут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м, а также латентных фактов изнасилований.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lastRenderedPageBreak/>
        <w:t xml:space="preserve">Считаю, что уклонение родителей и их детей от проведения надлежащего медосмотра является скрытым сигналом о том, что в семье не все в порядке и имеют  место возможные факты насилия, которые пытаются таким образом скрыть.   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В этих  случаях  должны подключаться школьные психологи, да и в целом с уч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том положений нового Федерального закона «Об основах системы профилактике правонарушений в РФ» системе образования необходимо совершенствовать систему уч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та, например, неполных семей, семей с отчимами, ранее судимыми, мигрантами и т.д., вызывать их в школу, проводить разъяснительную работу, сообщать гинекологам об учениках из таких семей при проведении медосмотра.</w:t>
      </w:r>
      <w:proofErr w:type="gramEnd"/>
    </w:p>
    <w:p w:rsidR="00064154" w:rsidRPr="003F4BBF" w:rsidRDefault="00064154" w:rsidP="00064154">
      <w:pPr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Жестокое обращение с детьми также трудно выявлять?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Насилие в семье характеризуется высоким уровнем латентности. Между тем, всегда есть косвенные сигналы и при условии должного исполнения своих обязанностей работниками органов системы профилактики такие факты просто не должны происходить. В 2018 году количество таких преступлений незначительно возросло с 18 до 19. 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Также выявлению способствует наличие в школах информации о правозащитных организациях </w:t>
      </w: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согласно требований</w:t>
      </w:r>
      <w:proofErr w:type="gram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Федерального закона «Об основных гарантиях прав реб</w:t>
      </w:r>
      <w:r w:rsidR="003F4BBF"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нка в РФ».</w:t>
      </w:r>
    </w:p>
    <w:p w:rsidR="00AD572A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AD572A" w:rsidRPr="003F4BBF" w:rsidRDefault="00AD572A" w:rsidP="00064154">
      <w:pPr>
        <w:ind w:firstLine="426"/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noProof/>
          <w:color w:val="7030A0"/>
          <w:lang w:val="ru-RU" w:eastAsia="ru-RU" w:bidi="ar-SA"/>
        </w:rPr>
        <w:drawing>
          <wp:inline distT="0" distB="0" distL="0" distR="0" wp14:anchorId="06BEE2E5" wp14:editId="6413124D">
            <wp:extent cx="947290" cy="669417"/>
            <wp:effectExtent l="0" t="0" r="0" b="0"/>
            <wp:docPr id="6" name="Рисунок 6" descr="ÐÐ°ÑÑÐ¸Ð½ÐºÐ¸ Ð¿Ð¾ Ð·Ð°Ð¿ÑÐ¾ÑÑ ÐÐÐ¤ÐÐ ÐÐÐ¦ÐÐÐÐÐÐ¯ ÐÐÐÐÐÐÐ¡ÐÐÐ¡Ð¢Ð¬ ÐÐÐ¢ÐÐ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ÐÐ¤ÐÐ ÐÐÐ¦ÐÐÐÐÐÐ¯ ÐÐÐÐÐÐÐ¡ÐÐÐ¡Ð¢Ð¬ ÐÐÐ¢ÐÐ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55" cy="67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A" w:rsidRPr="003F4BBF" w:rsidRDefault="00AD572A" w:rsidP="00064154">
      <w:pPr>
        <w:ind w:firstLine="426"/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Какие ещё  имеются  угрозы жизни, здоровью детей?</w:t>
      </w:r>
    </w:p>
    <w:p w:rsidR="003F4BBF" w:rsidRPr="003F4BBF" w:rsidRDefault="003F4BBF" w:rsidP="003F4BBF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В 2017 году до республики дошла волна самоубийств, связанных с игрой Синий кит. Проверки показали, что на соответствующие сайты  заходили 40%  покончивших с собой детей.  И если в 2016 году их число составило всего 10, ранее доходило до  44 в год, то с 2017 их  количество раст</w:t>
      </w:r>
      <w:r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т -12, уже 19 в 2018 году. Рост суицидов зарегистрирован в Верхневилюйском (с 0 до 4),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Намском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(с 0 до 3),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Хангаласском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Среднеколымском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(с 0 </w:t>
      </w: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до</w:t>
      </w:r>
      <w:proofErr w:type="gram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2),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Алданском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Кобяйском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Амгинском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Нюрбинском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, </w:t>
      </w:r>
      <w:proofErr w:type="spell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Томпонском</w:t>
      </w:r>
      <w:proofErr w:type="spellEnd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(с 0 до 1) районах.  </w:t>
      </w:r>
    </w:p>
    <w:p w:rsidR="003F4BBF" w:rsidRPr="003F4BBF" w:rsidRDefault="003F4BBF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lastRenderedPageBreak/>
        <w:t>Эта проблема оста</w:t>
      </w:r>
      <w:r>
        <w:rPr>
          <w:rFonts w:ascii="Times New Roman" w:hAnsi="Times New Roman"/>
          <w:color w:val="7030A0"/>
          <w:sz w:val="20"/>
          <w:szCs w:val="20"/>
          <w:lang w:val="ru-RU"/>
        </w:rPr>
        <w:t>ё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тся актуальной в связи с </w:t>
      </w:r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появлением сети Интернет социально опасных игр, сайтов </w:t>
      </w:r>
      <w:proofErr w:type="spellStart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Колумбайн</w:t>
      </w:r>
      <w:proofErr w:type="spellEnd"/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>, АУЕ, Синие киты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.</w:t>
      </w:r>
      <w:r w:rsidR="00064154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К сожалению, родители в силу занятости и зачастую равнодушия, уделяют общению с детьми всего 20 минут в день, не контролируют их общение в социальных сетях, что может привести к трагедии. </w:t>
      </w:r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Дети не подозревая об опасности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вступ</w:t>
      </w:r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ают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в переписку </w:t>
      </w:r>
      <w:proofErr w:type="gramStart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с</w:t>
      </w:r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>о</w:t>
      </w:r>
      <w:proofErr w:type="gramEnd"/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взрослыми, в </w:t>
      </w:r>
      <w:proofErr w:type="spellStart"/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>т.ч</w:t>
      </w:r>
      <w:proofErr w:type="spellEnd"/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>. преступниками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,</w:t>
      </w:r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идут на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встречу с ним</w:t>
      </w:r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>и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и </w:t>
      </w:r>
      <w:r w:rsidR="00AD572A"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становятся 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жертвой сексуального  насилия.</w:t>
      </w:r>
    </w:p>
    <w:p w:rsidR="00AD572A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064154" w:rsidRPr="003F4BBF" w:rsidRDefault="00AD572A" w:rsidP="0006415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3F4BBF">
        <w:rPr>
          <w:noProof/>
          <w:color w:val="7030A0"/>
          <w:lang w:val="ru-RU" w:eastAsia="ru-RU" w:bidi="ar-SA"/>
        </w:rPr>
        <w:drawing>
          <wp:inline distT="0" distB="0" distL="0" distR="0" wp14:anchorId="4AB20D22" wp14:editId="2BAEA02D">
            <wp:extent cx="793749" cy="595312"/>
            <wp:effectExtent l="0" t="0" r="0" b="0"/>
            <wp:docPr id="10" name="Рисунок 10" descr="ÐÐ°ÑÑÐ¸Ð½ÐºÐ¸ Ð¿Ð¾ Ð·Ð°Ð¿ÑÐ¾ÑÑ ÐÐÐ ÐÐÐ©ÐÐ¢ÐÐ¢Ð¬ ÐÐÐ¢ÐÐ ÐÐ¢ ÐÐ ÐÐ¡Ð¢Ð£ÐÐÐÐÐÐ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Ð°ÑÑÐ¸Ð½ÐºÐ¸ Ð¿Ð¾ Ð·Ð°Ð¿ÑÐ¾ÑÑ ÐÐÐ ÐÐÐ©ÐÐ¢ÐÐ¢Ð¬ ÐÐÐ¢ÐÐ ÐÐ¢ ÐÐ ÐÐ¡Ð¢Ð£ÐÐÐÐÐÐ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41" cy="59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A" w:rsidRPr="003F4BBF" w:rsidRDefault="00AD572A" w:rsidP="0006415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  </w:t>
      </w: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Что нужно знать и делать родителям, чтобы не допустить трагедии с ребёнком?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Необходимо отметить, что большинство покончивших с собой детей проживало в благополучных семьях, однако желая привлечь к себе внимание, из-за недостатка любви, понимания, общения, иногда страха перед наказанием, сдачи ЕГЭ, конфликтов с родными,  друзьями, решились на этот трагический  и необдуманный шаг.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Анализ причин и условий детских самоубийств за 2018 год показал, что  в два раза больше суицидов совершено подростками под влиянием алкоголя,  из-за конфликтов с друзьями, с родителями, раскаяния в связи с совершением противоправных деяний, семейным неблагополучием,  неразделённой любви. Поэтому как родителям, так и педагогам необходимо обращать внимание на указанные причины и вообще быть в курсе дел и настроений детей, их интересов, круга общения, иметь с ними больше совместных увлечений, а не только обеспечивать их материальные потребности.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В школах каждое полугодие  проводится месячник психологической безопасности, в ходе которого проводят тестирование учащихся для выявления тревожности, депрессии, их причин, их ставят на учёт нуждающихся в психологической помощи. С родителями проводят собрания, учителя информатики учат их обеспечивать информационную безопасность детей, контролировать их поведение в Интернете; с детьми проводятся классные часы на тему разрешения конфликтных ситуаций, подготовки к ЕГЭ. Поэтому чем больше родители будут принимать участие в таких мероприятиях, 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lastRenderedPageBreak/>
        <w:t>взаимодействовать с педагогами, психологами, тем больше они будут знать, любить своих детей и меньше у нас будет таких трагедий.</w:t>
      </w:r>
    </w:p>
    <w:p w:rsidR="00AD572A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064154" w:rsidRPr="003F4BBF" w:rsidRDefault="00AD572A" w:rsidP="00064154">
      <w:pPr>
        <w:ind w:firstLine="426"/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noProof/>
          <w:color w:val="7030A0"/>
          <w:lang w:val="ru-RU" w:eastAsia="ru-RU" w:bidi="ar-SA"/>
        </w:rPr>
        <w:drawing>
          <wp:inline distT="0" distB="0" distL="0" distR="0" wp14:anchorId="6543BB7B" wp14:editId="727C556B">
            <wp:extent cx="1141571" cy="762000"/>
            <wp:effectExtent l="0" t="0" r="0" b="0"/>
            <wp:docPr id="8" name="Рисунок 8" descr="ÐÐ°ÑÑÐ¸Ð½ÐºÐ¸ Ð¿Ð¾ Ð·Ð°Ð¿ÑÐ¾ÑÑ ÐÐÐÐ ÐÐ¡Ð¢ÐÐ Ð Ð¡ÐÐÐ¬Ð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ÐÐÐ ÐÐ¡Ð¢ÐÐ Ð Ð¡ÐÐÐ¬Ð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78" cy="7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А что должны знать дети?</w:t>
      </w: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Прежде всего, то, что они не одиноки и ни кто - ни родители, ни члены семьи, ни одноклассники, ни педагоги, ни посторонние лица не вправе совершать в их отношении какие-либо негативные поступки, будь то психическое, физическое или сексуальное насилие. Родители обязаны защищать их от каких-либо неправомерных поступков и если они этого, по каким-то причинам, не делают, дети всегда могут и должны обратиться к педагогам, в органы опеки, полиции, уполномоченному по правам ребёнка, в прокуратуру. </w:t>
      </w:r>
    </w:p>
    <w:p w:rsidR="00AD572A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AD572A" w:rsidRPr="003F4BBF" w:rsidRDefault="00AD572A" w:rsidP="00AD572A">
      <w:pPr>
        <w:contextualSpacing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noProof/>
          <w:color w:val="7030A0"/>
          <w:lang w:val="ru-RU" w:eastAsia="ru-RU" w:bidi="ar-SA"/>
        </w:rPr>
        <w:drawing>
          <wp:inline distT="0" distB="0" distL="0" distR="0" wp14:anchorId="26E5CDC1" wp14:editId="59131D88">
            <wp:extent cx="1386680" cy="981075"/>
            <wp:effectExtent l="0" t="0" r="0" b="0"/>
            <wp:docPr id="11" name="Рисунок 11" descr="ÐÐ°ÑÑÐ¸Ð½ÐºÐ¸ Ð¿Ð¾ Ð·Ð°Ð¿ÑÐ¾ÑÑ Ð¢ÐÐÐÐ¤ÐÐ ÐÐÐÐÐ 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¢ÐÐÐÐ¤ÐÐ ÐÐÐÐÐ ÐÐ¯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42" cy="9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A" w:rsidRPr="003F4BBF" w:rsidRDefault="00AD572A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</w:p>
    <w:p w:rsidR="00064154" w:rsidRPr="003F4BBF" w:rsidRDefault="00064154" w:rsidP="00064154">
      <w:pPr>
        <w:ind w:firstLine="426"/>
        <w:contextualSpacing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3F4BBF">
        <w:rPr>
          <w:rFonts w:ascii="Times New Roman" w:hAnsi="Times New Roman"/>
          <w:b/>
          <w:color w:val="7030A0"/>
          <w:sz w:val="20"/>
          <w:szCs w:val="20"/>
          <w:lang w:val="ru-RU"/>
        </w:rPr>
        <w:t>Какая ответственность предусмотрена для лиц, совершивших преступления в отношении детей?</w:t>
      </w:r>
    </w:p>
    <w:p w:rsidR="00064154" w:rsidRPr="003F4BBF" w:rsidRDefault="00064154" w:rsidP="00064154">
      <w:pPr>
        <w:autoSpaceDE w:val="0"/>
        <w:autoSpaceDN w:val="0"/>
        <w:adjustRightInd w:val="0"/>
        <w:ind w:firstLine="426"/>
        <w:contextualSpacing/>
        <w:jc w:val="both"/>
        <w:outlineLvl w:val="0"/>
        <w:rPr>
          <w:rFonts w:ascii="Times New Roman" w:hAnsi="Times New Roman"/>
          <w:color w:val="7030A0"/>
          <w:sz w:val="20"/>
          <w:szCs w:val="20"/>
          <w:lang w:val="ru-RU"/>
        </w:rPr>
      </w:pPr>
      <w:proofErr w:type="gramStart"/>
      <w:r w:rsidRPr="003F4BBF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За оставление в опасности - до 1 года лишения свободы, за побои, заражение болезнью – до 2 лет, неосторожное причинение смерти - до 3 лет, убийство матерью </w:t>
      </w:r>
      <w:proofErr w:type="spellStart"/>
      <w:r w:rsidRPr="003F4BBF">
        <w:rPr>
          <w:rFonts w:ascii="Times New Roman" w:hAnsi="Times New Roman"/>
          <w:bCs/>
          <w:color w:val="7030A0"/>
          <w:sz w:val="20"/>
          <w:szCs w:val="20"/>
          <w:lang w:val="ru-RU"/>
        </w:rPr>
        <w:t>новорожденного</w:t>
      </w:r>
      <w:proofErr w:type="spellEnd"/>
      <w:r w:rsidRPr="003F4BBF">
        <w:rPr>
          <w:rFonts w:ascii="Times New Roman" w:hAnsi="Times New Roman"/>
          <w:bCs/>
          <w:color w:val="7030A0"/>
          <w:sz w:val="20"/>
          <w:szCs w:val="20"/>
          <w:lang w:val="ru-RU"/>
        </w:rPr>
        <w:t>, причинение вреда здоровью средней тяжести, понуждение к действиям сексуального характера - до 5 лет, истязание - до 7 лет, склонение к самоубийству, причинение тяжкого вреда, развратные действия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- до 15 лет, </w:t>
      </w:r>
      <w:bookmarkStart w:id="1" w:name="Par75"/>
      <w:bookmarkEnd w:id="1"/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>у</w:t>
      </w:r>
      <w:r w:rsidRPr="003F4BBF">
        <w:rPr>
          <w:rFonts w:ascii="Times New Roman" w:hAnsi="Times New Roman"/>
          <w:bCs/>
          <w:color w:val="7030A0"/>
          <w:sz w:val="20"/>
          <w:szCs w:val="20"/>
          <w:lang w:val="ru-RU"/>
        </w:rPr>
        <w:t>бийство, изнасилование, иные насильственные действия сексуального характера</w:t>
      </w:r>
      <w:proofErr w:type="gramEnd"/>
      <w:r w:rsidRPr="003F4BBF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- до</w:t>
      </w:r>
      <w:r w:rsidRPr="003F4BBF">
        <w:rPr>
          <w:rFonts w:ascii="Times New Roman" w:hAnsi="Times New Roman"/>
          <w:color w:val="7030A0"/>
          <w:sz w:val="20"/>
          <w:szCs w:val="20"/>
          <w:lang w:val="ru-RU"/>
        </w:rPr>
        <w:t xml:space="preserve"> 20 лет лишения свободы. </w:t>
      </w:r>
    </w:p>
    <w:p w:rsidR="003F4BBF" w:rsidRPr="00BD7645" w:rsidRDefault="003F4BBF" w:rsidP="00507F99">
      <w:pPr>
        <w:ind w:firstLine="567"/>
        <w:jc w:val="both"/>
        <w:rPr>
          <w:rFonts w:asciiTheme="majorHAnsi" w:hAnsiTheme="majorHAnsi"/>
          <w:color w:val="7030A0"/>
          <w:sz w:val="22"/>
          <w:szCs w:val="22"/>
          <w:shd w:val="clear" w:color="auto" w:fill="FFFFFF"/>
          <w:lang w:val="ru-RU"/>
        </w:rPr>
      </w:pPr>
    </w:p>
    <w:p w:rsidR="002E7B18" w:rsidRPr="002E7B18" w:rsidRDefault="002E7B18" w:rsidP="002E7B18">
      <w:pPr>
        <w:pStyle w:val="unknownstyle1"/>
        <w:widowControl w:val="0"/>
        <w:spacing w:line="240" w:lineRule="auto"/>
        <w:ind w:left="113" w:firstLine="29"/>
        <w:rPr>
          <w:rFonts w:asciiTheme="majorHAnsi" w:hAnsiTheme="majorHAnsi" w:cstheme="minorHAnsi"/>
          <w:bCs/>
          <w:color w:val="244061" w:themeColor="accent1" w:themeShade="80"/>
          <w:sz w:val="18"/>
          <w:szCs w:val="18"/>
        </w:rPr>
      </w:pPr>
      <w:r w:rsidRPr="002E7B18">
        <w:rPr>
          <w:rFonts w:asciiTheme="majorHAnsi" w:hAnsiTheme="majorHAnsi" w:cstheme="minorHAnsi"/>
          <w:bCs/>
          <w:color w:val="244061" w:themeColor="accent1" w:themeShade="80"/>
          <w:sz w:val="18"/>
          <w:szCs w:val="18"/>
        </w:rPr>
        <w:t>Прокуратура Республики Саха (Якутия)</w:t>
      </w:r>
    </w:p>
    <w:p w:rsidR="002E7B18" w:rsidRPr="002E7B18" w:rsidRDefault="002E7B18" w:rsidP="002E7B18">
      <w:pPr>
        <w:pStyle w:val="unknownstyle1"/>
        <w:widowControl w:val="0"/>
        <w:spacing w:line="240" w:lineRule="auto"/>
        <w:ind w:left="113" w:firstLine="29"/>
        <w:rPr>
          <w:rFonts w:asciiTheme="majorHAnsi" w:hAnsiTheme="majorHAnsi" w:cstheme="minorHAnsi"/>
          <w:bCs/>
          <w:color w:val="244061" w:themeColor="accent1" w:themeShade="80"/>
          <w:sz w:val="18"/>
          <w:szCs w:val="18"/>
        </w:rPr>
      </w:pPr>
      <w:r w:rsidRPr="002E7B18">
        <w:rPr>
          <w:rFonts w:asciiTheme="majorHAnsi" w:hAnsiTheme="majorHAnsi" w:cstheme="minorHAnsi"/>
          <w:bCs/>
          <w:color w:val="244061" w:themeColor="accent1" w:themeShade="80"/>
          <w:sz w:val="18"/>
          <w:szCs w:val="18"/>
        </w:rPr>
        <w:t xml:space="preserve">677000, г. Якутск, пр. Ленина, 48, </w:t>
      </w:r>
    </w:p>
    <w:p w:rsidR="002E7B18" w:rsidRPr="002E7B18" w:rsidRDefault="00730363" w:rsidP="002E7B18">
      <w:pPr>
        <w:pStyle w:val="unknownstyle1"/>
        <w:widowControl w:val="0"/>
        <w:spacing w:line="240" w:lineRule="auto"/>
        <w:ind w:left="113" w:firstLine="29"/>
        <w:rPr>
          <w:rFonts w:asciiTheme="majorHAnsi" w:hAnsiTheme="majorHAnsi" w:cstheme="minorHAnsi"/>
          <w:bCs/>
          <w:color w:val="244061" w:themeColor="accent1" w:themeShade="80"/>
          <w:sz w:val="18"/>
          <w:szCs w:val="18"/>
        </w:rPr>
      </w:pPr>
      <w:hyperlink r:id="rId15" w:history="1">
        <w:r w:rsidR="002E7B18" w:rsidRPr="002E7B18">
          <w:rPr>
            <w:rStyle w:val="a3"/>
            <w:rFonts w:asciiTheme="majorHAnsi" w:hAnsiTheme="majorHAnsi" w:cstheme="minorHAnsi"/>
            <w:bCs/>
            <w:color w:val="244061" w:themeColor="accent1" w:themeShade="80"/>
            <w:sz w:val="18"/>
            <w:szCs w:val="18"/>
            <w:u w:val="none"/>
            <w:lang w:val="en-US"/>
          </w:rPr>
          <w:t>http</w:t>
        </w:r>
        <w:r w:rsidR="002E7B18" w:rsidRPr="002E7B18">
          <w:rPr>
            <w:rStyle w:val="a3"/>
            <w:rFonts w:asciiTheme="majorHAnsi" w:hAnsiTheme="majorHAnsi" w:cstheme="minorHAnsi"/>
            <w:bCs/>
            <w:color w:val="244061" w:themeColor="accent1" w:themeShade="80"/>
            <w:sz w:val="18"/>
            <w:szCs w:val="18"/>
            <w:u w:val="none"/>
          </w:rPr>
          <w:t>://</w:t>
        </w:r>
        <w:proofErr w:type="spellStart"/>
        <w:r w:rsidR="002E7B18" w:rsidRPr="002E7B18">
          <w:rPr>
            <w:rStyle w:val="a3"/>
            <w:rFonts w:asciiTheme="majorHAnsi" w:hAnsiTheme="majorHAnsi" w:cstheme="minorHAnsi"/>
            <w:bCs/>
            <w:color w:val="244061" w:themeColor="accent1" w:themeShade="80"/>
            <w:sz w:val="18"/>
            <w:szCs w:val="18"/>
            <w:u w:val="none"/>
            <w:lang w:val="en-US"/>
          </w:rPr>
          <w:t>proksakha</w:t>
        </w:r>
        <w:proofErr w:type="spellEnd"/>
        <w:r w:rsidR="002E7B18" w:rsidRPr="002E7B18">
          <w:rPr>
            <w:rStyle w:val="a3"/>
            <w:rFonts w:asciiTheme="majorHAnsi" w:hAnsiTheme="majorHAnsi" w:cstheme="minorHAnsi"/>
            <w:bCs/>
            <w:color w:val="244061" w:themeColor="accent1" w:themeShade="80"/>
            <w:sz w:val="18"/>
            <w:szCs w:val="18"/>
            <w:u w:val="none"/>
          </w:rPr>
          <w:t>.</w:t>
        </w:r>
        <w:proofErr w:type="spellStart"/>
        <w:r w:rsidR="002E7B18" w:rsidRPr="002E7B18">
          <w:rPr>
            <w:rStyle w:val="a3"/>
            <w:rFonts w:asciiTheme="majorHAnsi" w:hAnsiTheme="majorHAnsi" w:cstheme="minorHAnsi"/>
            <w:bCs/>
            <w:color w:val="244061" w:themeColor="accent1" w:themeShade="80"/>
            <w:sz w:val="18"/>
            <w:szCs w:val="18"/>
            <w:u w:val="none"/>
            <w:lang w:val="en-US"/>
          </w:rPr>
          <w:t>ru</w:t>
        </w:r>
        <w:proofErr w:type="spellEnd"/>
        <w:r w:rsidR="002E7B18" w:rsidRPr="002E7B18">
          <w:rPr>
            <w:rStyle w:val="a3"/>
            <w:rFonts w:asciiTheme="majorHAnsi" w:hAnsiTheme="majorHAnsi" w:cstheme="minorHAnsi"/>
            <w:bCs/>
            <w:color w:val="244061" w:themeColor="accent1" w:themeShade="80"/>
            <w:sz w:val="18"/>
            <w:szCs w:val="18"/>
            <w:u w:val="none"/>
          </w:rPr>
          <w:t>/</w:t>
        </w:r>
      </w:hyperlink>
      <w:r w:rsidR="002E7B18" w:rsidRPr="002E7B18">
        <w:rPr>
          <w:rFonts w:asciiTheme="majorHAnsi" w:hAnsiTheme="majorHAnsi" w:cstheme="minorHAnsi"/>
          <w:bCs/>
          <w:color w:val="244061" w:themeColor="accent1" w:themeShade="80"/>
          <w:sz w:val="18"/>
          <w:szCs w:val="18"/>
        </w:rPr>
        <w:t xml:space="preserve"> </w:t>
      </w:r>
    </w:p>
    <w:p w:rsidR="002E7B18" w:rsidRPr="00B6401B" w:rsidRDefault="002E7B18" w:rsidP="002E7B18">
      <w:pPr>
        <w:pStyle w:val="unknownstyle1"/>
        <w:widowControl w:val="0"/>
        <w:spacing w:line="240" w:lineRule="auto"/>
        <w:ind w:left="113" w:firstLine="29"/>
        <w:rPr>
          <w:rFonts w:asciiTheme="majorHAnsi" w:hAnsiTheme="majorHAnsi" w:cstheme="minorHAnsi"/>
          <w:bCs/>
          <w:color w:val="244061" w:themeColor="accent1" w:themeShade="80"/>
          <w:sz w:val="18"/>
          <w:szCs w:val="18"/>
          <w:lang w:val="en-US"/>
        </w:rPr>
      </w:pPr>
      <w:proofErr w:type="gramStart"/>
      <w:r w:rsidRPr="002E7B18">
        <w:rPr>
          <w:rFonts w:asciiTheme="majorHAnsi" w:hAnsiTheme="majorHAnsi" w:cstheme="minorHAnsi"/>
          <w:color w:val="244061" w:themeColor="accent1" w:themeShade="80"/>
          <w:sz w:val="18"/>
          <w:szCs w:val="18"/>
        </w:rPr>
        <w:t>е</w:t>
      </w:r>
      <w:proofErr w:type="gramEnd"/>
      <w:r w:rsidRPr="00B6401B">
        <w:rPr>
          <w:rFonts w:asciiTheme="majorHAnsi" w:hAnsiTheme="majorHAnsi" w:cstheme="minorHAnsi"/>
          <w:color w:val="244061" w:themeColor="accent1" w:themeShade="80"/>
          <w:sz w:val="18"/>
          <w:szCs w:val="18"/>
          <w:lang w:val="en-US"/>
        </w:rPr>
        <w:t>-</w:t>
      </w:r>
      <w:r w:rsidRPr="002E7B18">
        <w:rPr>
          <w:rFonts w:asciiTheme="majorHAnsi" w:hAnsiTheme="majorHAnsi" w:cstheme="minorHAnsi"/>
          <w:color w:val="244061" w:themeColor="accent1" w:themeShade="80"/>
          <w:sz w:val="18"/>
          <w:szCs w:val="18"/>
          <w:lang w:val="en-US"/>
        </w:rPr>
        <w:t>mail</w:t>
      </w:r>
      <w:r w:rsidRPr="00B6401B">
        <w:rPr>
          <w:rFonts w:asciiTheme="majorHAnsi" w:hAnsiTheme="majorHAnsi" w:cstheme="minorHAnsi"/>
          <w:color w:val="244061" w:themeColor="accent1" w:themeShade="80"/>
          <w:sz w:val="18"/>
          <w:szCs w:val="18"/>
          <w:lang w:val="en-US"/>
        </w:rPr>
        <w:t>:</w:t>
      </w:r>
      <w:r w:rsidRPr="00B6401B">
        <w:rPr>
          <w:rFonts w:asciiTheme="majorHAnsi" w:hAnsiTheme="majorHAnsi" w:cstheme="minorHAnsi"/>
          <w:b/>
          <w:color w:val="244061" w:themeColor="accent1" w:themeShade="80"/>
          <w:sz w:val="18"/>
          <w:szCs w:val="18"/>
          <w:lang w:val="en-US"/>
        </w:rPr>
        <w:t xml:space="preserve"> </w:t>
      </w:r>
      <w:hyperlink r:id="rId16" w:history="1">
        <w:r w:rsidRPr="002E7B18">
          <w:rPr>
            <w:rStyle w:val="a3"/>
            <w:rFonts w:asciiTheme="majorHAnsi" w:hAnsiTheme="majorHAnsi" w:cstheme="minorHAnsi"/>
            <w:color w:val="244061" w:themeColor="accent1" w:themeShade="80"/>
            <w:sz w:val="18"/>
            <w:szCs w:val="18"/>
            <w:u w:val="none"/>
            <w:lang w:val="en-US"/>
          </w:rPr>
          <w:t>resp</w:t>
        </w:r>
        <w:r w:rsidRPr="00B6401B">
          <w:rPr>
            <w:rStyle w:val="a3"/>
            <w:rFonts w:asciiTheme="majorHAnsi" w:hAnsiTheme="majorHAnsi" w:cstheme="minorHAnsi"/>
            <w:color w:val="244061" w:themeColor="accent1" w:themeShade="80"/>
            <w:sz w:val="18"/>
            <w:szCs w:val="18"/>
            <w:u w:val="none"/>
            <w:lang w:val="en-US"/>
          </w:rPr>
          <w:t>_</w:t>
        </w:r>
        <w:r w:rsidRPr="002E7B18">
          <w:rPr>
            <w:rStyle w:val="a3"/>
            <w:rFonts w:asciiTheme="majorHAnsi" w:hAnsiTheme="majorHAnsi" w:cstheme="minorHAnsi"/>
            <w:color w:val="244061" w:themeColor="accent1" w:themeShade="80"/>
            <w:sz w:val="18"/>
            <w:szCs w:val="18"/>
            <w:u w:val="none"/>
            <w:lang w:val="en-US"/>
          </w:rPr>
          <w:t>prok</w:t>
        </w:r>
        <w:r w:rsidRPr="00B6401B">
          <w:rPr>
            <w:rStyle w:val="a3"/>
            <w:rFonts w:asciiTheme="majorHAnsi" w:hAnsiTheme="majorHAnsi" w:cstheme="minorHAnsi"/>
            <w:i/>
            <w:color w:val="244061" w:themeColor="accent1" w:themeShade="80"/>
            <w:sz w:val="18"/>
            <w:szCs w:val="18"/>
            <w:u w:val="none"/>
            <w:lang w:val="en-US"/>
          </w:rPr>
          <w:t>@</w:t>
        </w:r>
        <w:r w:rsidRPr="002E7B18">
          <w:rPr>
            <w:rStyle w:val="a3"/>
            <w:rFonts w:asciiTheme="majorHAnsi" w:hAnsiTheme="majorHAnsi" w:cstheme="minorHAnsi"/>
            <w:color w:val="244061" w:themeColor="accent1" w:themeShade="80"/>
            <w:sz w:val="18"/>
            <w:szCs w:val="18"/>
            <w:u w:val="none"/>
            <w:lang w:val="en-US"/>
          </w:rPr>
          <w:t>sakha</w:t>
        </w:r>
        <w:r w:rsidRPr="00B6401B">
          <w:rPr>
            <w:rStyle w:val="a3"/>
            <w:rFonts w:asciiTheme="majorHAnsi" w:hAnsiTheme="majorHAnsi" w:cstheme="minorHAnsi"/>
            <w:color w:val="244061" w:themeColor="accent1" w:themeShade="80"/>
            <w:sz w:val="18"/>
            <w:szCs w:val="18"/>
            <w:u w:val="none"/>
            <w:lang w:val="en-US"/>
          </w:rPr>
          <w:t>.</w:t>
        </w:r>
        <w:r w:rsidRPr="002E7B18">
          <w:rPr>
            <w:rStyle w:val="a3"/>
            <w:rFonts w:asciiTheme="majorHAnsi" w:hAnsiTheme="majorHAnsi" w:cstheme="minorHAnsi"/>
            <w:color w:val="244061" w:themeColor="accent1" w:themeShade="80"/>
            <w:sz w:val="18"/>
            <w:szCs w:val="18"/>
            <w:u w:val="none"/>
            <w:lang w:val="en-US"/>
          </w:rPr>
          <w:t>ru</w:t>
        </w:r>
      </w:hyperlink>
    </w:p>
    <w:p w:rsidR="00CF4724" w:rsidRPr="00B6401B" w:rsidRDefault="00CF4724" w:rsidP="00C96B21">
      <w:pPr>
        <w:pStyle w:val="unknownstyle1"/>
        <w:widowControl w:val="0"/>
        <w:spacing w:line="240" w:lineRule="auto"/>
        <w:ind w:left="113" w:firstLine="454"/>
        <w:rPr>
          <w:rFonts w:asciiTheme="majorHAnsi" w:hAnsiTheme="majorHAnsi" w:cstheme="minorHAnsi"/>
          <w:bCs/>
          <w:color w:val="244061" w:themeColor="accent1" w:themeShade="80"/>
          <w:sz w:val="20"/>
          <w:szCs w:val="20"/>
          <w:lang w:val="en-US"/>
        </w:rPr>
      </w:pPr>
    </w:p>
    <w:p w:rsidR="008F477A" w:rsidRPr="00B6401B" w:rsidRDefault="008F477A" w:rsidP="00C96B21">
      <w:pPr>
        <w:pStyle w:val="unknownstyle1"/>
        <w:widowControl w:val="0"/>
        <w:spacing w:line="240" w:lineRule="auto"/>
        <w:ind w:left="113" w:firstLine="454"/>
        <w:rPr>
          <w:rFonts w:asciiTheme="majorHAnsi" w:hAnsiTheme="majorHAnsi" w:cstheme="minorHAnsi"/>
          <w:bCs/>
          <w:color w:val="244061" w:themeColor="accent1" w:themeShade="80"/>
          <w:sz w:val="20"/>
          <w:szCs w:val="20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4536"/>
      </w:tblGrid>
      <w:tr w:rsidR="000F0AFA" w:rsidRPr="000F0AFA" w:rsidTr="00367783">
        <w:trPr>
          <w:trHeight w:val="1140"/>
        </w:trPr>
        <w:tc>
          <w:tcPr>
            <w:tcW w:w="426" w:type="dxa"/>
          </w:tcPr>
          <w:p w:rsidR="00051041" w:rsidRPr="00B6401B" w:rsidRDefault="00367783" w:rsidP="00367783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26"/>
              </w:rPr>
            </w:pPr>
            <w:r w:rsidRPr="00B6401B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        </w:t>
            </w:r>
            <w:r w:rsidR="00051041" w:rsidRPr="00B6401B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   </w:t>
            </w:r>
          </w:p>
        </w:tc>
        <w:tc>
          <w:tcPr>
            <w:tcW w:w="4536" w:type="dxa"/>
            <w:vAlign w:val="bottom"/>
          </w:tcPr>
          <w:p w:rsidR="00051041" w:rsidRPr="000F0AFA" w:rsidRDefault="00367783" w:rsidP="008F477A">
            <w:pPr>
              <w:ind w:left="33"/>
              <w:jc w:val="center"/>
              <w:rPr>
                <w:rFonts w:ascii="Arial Narrow" w:hAnsi="Arial Narrow"/>
                <w:b/>
                <w:color w:val="7030A0"/>
                <w:sz w:val="26"/>
                <w:szCs w:val="26"/>
                <w:lang w:val="ru-RU"/>
              </w:rPr>
            </w:pPr>
            <w:r w:rsidRPr="000F0AFA">
              <w:rPr>
                <w:rFonts w:ascii="Arial Narrow" w:hAnsi="Arial Narrow"/>
                <w:bCs/>
                <w:iCs/>
                <w:noProof/>
                <w:color w:val="7030A0"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2C01293" wp14:editId="0D956447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Pr="000F0AFA" w:rsidRDefault="00367783" w:rsidP="00367783">
            <w:pPr>
              <w:ind w:left="459"/>
              <w:rPr>
                <w:rFonts w:ascii="Arial Narrow" w:hAnsi="Arial Narrow"/>
                <w:b/>
                <w:color w:val="7030A0"/>
                <w:sz w:val="26"/>
                <w:szCs w:val="26"/>
                <w:lang w:val="ru-RU"/>
              </w:rPr>
            </w:pPr>
          </w:p>
          <w:p w:rsidR="00367783" w:rsidRPr="000F0AFA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</w:pPr>
            <w:r w:rsidRPr="000F0AFA"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  <w:t xml:space="preserve">Прокуратура </w:t>
            </w:r>
            <w:r w:rsidR="00BD7645" w:rsidRPr="000F0AFA"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  <w:t>Республики Саха (Якутия)</w:t>
            </w:r>
          </w:p>
          <w:p w:rsidR="00051041" w:rsidRPr="000F0AFA" w:rsidRDefault="00051041" w:rsidP="007E31C9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26"/>
              </w:rPr>
            </w:pPr>
          </w:p>
        </w:tc>
      </w:tr>
      <w:tr w:rsidR="000F0AFA" w:rsidRPr="000F0AFA" w:rsidTr="00367783">
        <w:tc>
          <w:tcPr>
            <w:tcW w:w="4962" w:type="dxa"/>
            <w:gridSpan w:val="2"/>
            <w:vAlign w:val="bottom"/>
          </w:tcPr>
          <w:p w:rsidR="00051041" w:rsidRPr="000F0AFA" w:rsidRDefault="00051041" w:rsidP="002E7B18">
            <w:pPr>
              <w:jc w:val="center"/>
              <w:rPr>
                <w:rFonts w:ascii="Arial Narrow" w:hAnsi="Arial Narrow"/>
                <w:b/>
                <w:color w:val="7030A0"/>
                <w:sz w:val="26"/>
                <w:szCs w:val="26"/>
                <w:lang w:val="ru-RU"/>
              </w:rPr>
            </w:pPr>
          </w:p>
        </w:tc>
      </w:tr>
    </w:tbl>
    <w:p w:rsidR="00051041" w:rsidRPr="000F0AFA" w:rsidRDefault="00051041" w:rsidP="00051041">
      <w:pPr>
        <w:jc w:val="center"/>
        <w:rPr>
          <w:b/>
          <w:color w:val="7030A0"/>
          <w:sz w:val="25"/>
          <w:szCs w:val="25"/>
          <w:lang w:val="ru-RU"/>
        </w:rPr>
      </w:pPr>
    </w:p>
    <w:p w:rsidR="002F264D" w:rsidRPr="000F0AFA" w:rsidRDefault="002F264D" w:rsidP="00051041">
      <w:pPr>
        <w:jc w:val="center"/>
        <w:rPr>
          <w:b/>
          <w:color w:val="7030A0"/>
          <w:sz w:val="25"/>
          <w:szCs w:val="25"/>
          <w:lang w:val="ru-RU"/>
        </w:rPr>
      </w:pPr>
    </w:p>
    <w:p w:rsidR="00064154" w:rsidRPr="000F0AFA" w:rsidRDefault="00064154" w:rsidP="001E40B4">
      <w:pPr>
        <w:jc w:val="center"/>
        <w:rPr>
          <w:rFonts w:ascii="Times New Roman" w:hAnsi="Times New Roman"/>
          <w:b/>
          <w:color w:val="7030A0"/>
          <w:sz w:val="36"/>
          <w:szCs w:val="36"/>
          <w:lang w:val="ru-RU"/>
        </w:rPr>
      </w:pPr>
      <w:r w:rsidRPr="000F0AFA">
        <w:rPr>
          <w:rFonts w:ascii="Times New Roman" w:hAnsi="Times New Roman"/>
          <w:b/>
          <w:color w:val="7030A0"/>
          <w:sz w:val="36"/>
          <w:szCs w:val="36"/>
          <w:lang w:val="ru-RU"/>
        </w:rPr>
        <w:t xml:space="preserve">КАК ЗАЩИТИТЬ ДЕТЕЙ </w:t>
      </w:r>
    </w:p>
    <w:p w:rsidR="00C05242" w:rsidRPr="000F0AFA" w:rsidRDefault="00064154" w:rsidP="001E40B4">
      <w:pPr>
        <w:jc w:val="center"/>
        <w:rPr>
          <w:rFonts w:ascii="Times New Roman" w:hAnsi="Times New Roman"/>
          <w:b/>
          <w:color w:val="7030A0"/>
          <w:sz w:val="36"/>
          <w:szCs w:val="36"/>
          <w:lang w:val="ru-RU"/>
        </w:rPr>
      </w:pPr>
      <w:r w:rsidRPr="000F0AFA">
        <w:rPr>
          <w:rFonts w:ascii="Times New Roman" w:hAnsi="Times New Roman"/>
          <w:b/>
          <w:color w:val="7030A0"/>
          <w:sz w:val="36"/>
          <w:szCs w:val="36"/>
          <w:lang w:val="ru-RU"/>
        </w:rPr>
        <w:t>ОТ ПРЕСТУПНЫХ ПОСЯГАТЕЛЬСТВ?</w:t>
      </w:r>
    </w:p>
    <w:p w:rsidR="000E49FE" w:rsidRPr="002E7B18" w:rsidRDefault="000E49FE" w:rsidP="00497B85">
      <w:pPr>
        <w:rPr>
          <w:color w:val="244061" w:themeColor="accent1" w:themeShade="80"/>
          <w:sz w:val="25"/>
          <w:szCs w:val="25"/>
          <w:lang w:val="ru-RU"/>
        </w:rPr>
      </w:pPr>
    </w:p>
    <w:p w:rsidR="00367783" w:rsidRPr="002E7B18" w:rsidRDefault="00953230" w:rsidP="00497B85">
      <w:pPr>
        <w:rPr>
          <w:noProof/>
          <w:color w:val="244061" w:themeColor="accent1" w:themeShade="80"/>
          <w:sz w:val="25"/>
          <w:szCs w:val="25"/>
          <w:lang w:val="ru-RU" w:eastAsia="ru-RU" w:bidi="ar-SA"/>
        </w:rPr>
      </w:pPr>
      <w:r w:rsidRPr="002E7B18">
        <w:rPr>
          <w:color w:val="244061" w:themeColor="accent1" w:themeShade="80"/>
          <w:sz w:val="25"/>
          <w:szCs w:val="25"/>
          <w:lang w:val="ru-RU"/>
        </w:rPr>
        <w:t xml:space="preserve">    </w:t>
      </w:r>
    </w:p>
    <w:p w:rsidR="00367783" w:rsidRPr="002E7B18" w:rsidRDefault="00367783" w:rsidP="00497B85">
      <w:pPr>
        <w:rPr>
          <w:noProof/>
          <w:color w:val="244061" w:themeColor="accent1" w:themeShade="80"/>
          <w:sz w:val="25"/>
          <w:szCs w:val="25"/>
          <w:lang w:val="ru-RU" w:eastAsia="ru-RU" w:bidi="ar-SA"/>
        </w:rPr>
      </w:pPr>
    </w:p>
    <w:p w:rsidR="00367783" w:rsidRPr="002E7B18" w:rsidRDefault="00064154" w:rsidP="002E7B18">
      <w:pPr>
        <w:jc w:val="center"/>
        <w:rPr>
          <w:noProof/>
          <w:color w:val="244061" w:themeColor="accent1" w:themeShade="80"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23043" cy="1647825"/>
            <wp:effectExtent l="0" t="0" r="0" b="0"/>
            <wp:docPr id="2" name="Рисунок 2" descr="ÐÐ°ÑÑÐ¸Ð½ÐºÐ¸ Ð¿Ð¾ Ð·Ð°Ð¿ÑÐ¾ÑÑ ÐÐÐ ÐÐÐ©ÐÐ¢ÐÐ¢Ð¬ ÐÐÐ¢ÐÐ ÐÐ¢ ÐÐ ÐÐ¡Ð¢Ð£ÐÐÐ«Ð¥ ÐÐÐ¡Ð¯ÐÐÐ¢ÐÐÐ¬Ð¡Ð¢Ð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ÐÐ ÐÐÐ©ÐÐ¢ÐÐ¢Ð¬ ÐÐÐ¢ÐÐ ÐÐ¢ ÐÐ ÐÐ¡Ð¢Ð£ÐÐÐ«Ð¥ ÐÐÐ¡Ð¯ÐÐÐ¢ÐÐÐ¬Ð¡Ð¢Ð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77" cy="16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41" w:rsidRPr="002E7B18" w:rsidRDefault="00F56A0D" w:rsidP="00497B85">
      <w:pPr>
        <w:rPr>
          <w:color w:val="244061" w:themeColor="accent1" w:themeShade="80"/>
          <w:sz w:val="25"/>
          <w:szCs w:val="25"/>
        </w:rPr>
      </w:pPr>
      <w:r w:rsidRPr="002E7B18">
        <w:rPr>
          <w:snapToGrid w:val="0"/>
          <w:color w:val="244061" w:themeColor="accent1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005D1" w:rsidRPr="002E7B18" w:rsidRDefault="000005D1" w:rsidP="00320C68">
      <w:pPr>
        <w:ind w:left="-284"/>
        <w:jc w:val="right"/>
        <w:rPr>
          <w:color w:val="244061" w:themeColor="accent1" w:themeShade="80"/>
          <w:lang w:val="ru-RU"/>
        </w:rPr>
      </w:pPr>
    </w:p>
    <w:p w:rsidR="000005D1" w:rsidRDefault="000005D1" w:rsidP="00320C68">
      <w:pPr>
        <w:ind w:left="-284"/>
        <w:jc w:val="right"/>
        <w:rPr>
          <w:color w:val="244061" w:themeColor="accent1" w:themeShade="80"/>
          <w:lang w:val="ru-RU"/>
        </w:rPr>
      </w:pPr>
    </w:p>
    <w:p w:rsidR="003F4BBF" w:rsidRDefault="003F4BBF" w:rsidP="00320C68">
      <w:pPr>
        <w:ind w:left="-284"/>
        <w:jc w:val="right"/>
        <w:rPr>
          <w:color w:val="244061" w:themeColor="accent1" w:themeShade="80"/>
          <w:lang w:val="ru-RU"/>
        </w:rPr>
      </w:pPr>
    </w:p>
    <w:p w:rsidR="003F4BBF" w:rsidRDefault="003F4BBF" w:rsidP="00320C68">
      <w:pPr>
        <w:ind w:left="-284"/>
        <w:jc w:val="right"/>
        <w:rPr>
          <w:color w:val="244061" w:themeColor="accent1" w:themeShade="80"/>
          <w:lang w:val="ru-RU"/>
        </w:rPr>
      </w:pPr>
    </w:p>
    <w:p w:rsidR="003F4BBF" w:rsidRDefault="003F4BBF" w:rsidP="00320C68">
      <w:pPr>
        <w:ind w:left="-284"/>
        <w:jc w:val="right"/>
        <w:rPr>
          <w:color w:val="244061" w:themeColor="accent1" w:themeShade="80"/>
          <w:lang w:val="ru-RU"/>
        </w:rPr>
      </w:pPr>
    </w:p>
    <w:p w:rsidR="003F4BBF" w:rsidRPr="002E7B18" w:rsidRDefault="003F4BBF" w:rsidP="00320C68">
      <w:pPr>
        <w:ind w:left="-284"/>
        <w:jc w:val="right"/>
        <w:rPr>
          <w:color w:val="244061" w:themeColor="accent1" w:themeShade="80"/>
          <w:lang w:val="ru-RU"/>
        </w:rPr>
      </w:pPr>
    </w:p>
    <w:p w:rsidR="00477950" w:rsidRPr="002E7B18" w:rsidRDefault="00477950" w:rsidP="001A1590">
      <w:pPr>
        <w:ind w:left="-284"/>
        <w:jc w:val="right"/>
        <w:rPr>
          <w:color w:val="244061" w:themeColor="accent1" w:themeShade="80"/>
          <w:lang w:val="ru-RU"/>
        </w:rPr>
      </w:pPr>
    </w:p>
    <w:p w:rsidR="00477950" w:rsidRPr="000F0AFA" w:rsidRDefault="00367783" w:rsidP="009B5758">
      <w:pPr>
        <w:ind w:left="-284"/>
        <w:jc w:val="center"/>
        <w:rPr>
          <w:b/>
          <w:color w:val="7030A0"/>
          <w:lang w:val="ru-RU"/>
        </w:rPr>
      </w:pPr>
      <w:r w:rsidRPr="000F0AFA">
        <w:rPr>
          <w:b/>
          <w:color w:val="7030A0"/>
          <w:lang w:val="ru-RU"/>
        </w:rPr>
        <w:t>201</w:t>
      </w:r>
      <w:r w:rsidR="002F264D" w:rsidRPr="000F0AFA">
        <w:rPr>
          <w:b/>
          <w:color w:val="7030A0"/>
          <w:lang w:val="ru-RU"/>
        </w:rPr>
        <w:t>9</w:t>
      </w:r>
      <w:r w:rsidR="001D127F" w:rsidRPr="000F0AFA">
        <w:rPr>
          <w:b/>
          <w:color w:val="7030A0"/>
          <w:lang w:val="ru-RU"/>
        </w:rPr>
        <w:t xml:space="preserve"> год</w:t>
      </w:r>
    </w:p>
    <w:sectPr w:rsidR="00477950" w:rsidRPr="000F0AFA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63" w:rsidRDefault="00730363">
      <w:r>
        <w:separator/>
      </w:r>
    </w:p>
  </w:endnote>
  <w:endnote w:type="continuationSeparator" w:id="0">
    <w:p w:rsidR="00730363" w:rsidRDefault="0073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63" w:rsidRDefault="00730363">
      <w:r>
        <w:separator/>
      </w:r>
    </w:p>
  </w:footnote>
  <w:footnote w:type="continuationSeparator" w:id="0">
    <w:p w:rsidR="00730363" w:rsidRDefault="0073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05D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1023"/>
    <w:rsid w:val="00062599"/>
    <w:rsid w:val="00062817"/>
    <w:rsid w:val="000635D2"/>
    <w:rsid w:val="00064154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0F0AFA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95A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4356"/>
    <w:rsid w:val="00190965"/>
    <w:rsid w:val="00190CA3"/>
    <w:rsid w:val="001918F5"/>
    <w:rsid w:val="00193F42"/>
    <w:rsid w:val="0019471D"/>
    <w:rsid w:val="00197FCC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0B4"/>
    <w:rsid w:val="001E48F0"/>
    <w:rsid w:val="001E55C2"/>
    <w:rsid w:val="001F2BDC"/>
    <w:rsid w:val="001F4BD0"/>
    <w:rsid w:val="001F7808"/>
    <w:rsid w:val="0020048C"/>
    <w:rsid w:val="00200D06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6976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E7B18"/>
    <w:rsid w:val="002F1A64"/>
    <w:rsid w:val="002F1C6B"/>
    <w:rsid w:val="002F264D"/>
    <w:rsid w:val="002F4652"/>
    <w:rsid w:val="00301D08"/>
    <w:rsid w:val="00302D84"/>
    <w:rsid w:val="003050EC"/>
    <w:rsid w:val="00307FEC"/>
    <w:rsid w:val="0031451F"/>
    <w:rsid w:val="00320C68"/>
    <w:rsid w:val="0032420C"/>
    <w:rsid w:val="00326A9B"/>
    <w:rsid w:val="00330AEC"/>
    <w:rsid w:val="003318C3"/>
    <w:rsid w:val="0033489E"/>
    <w:rsid w:val="00342009"/>
    <w:rsid w:val="00344F5B"/>
    <w:rsid w:val="00351C8F"/>
    <w:rsid w:val="003540F4"/>
    <w:rsid w:val="00361081"/>
    <w:rsid w:val="00366D4D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D3246"/>
    <w:rsid w:val="003D7A74"/>
    <w:rsid w:val="003E2ED4"/>
    <w:rsid w:val="003F4BBF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191A"/>
    <w:rsid w:val="004253EE"/>
    <w:rsid w:val="00425D31"/>
    <w:rsid w:val="0042627D"/>
    <w:rsid w:val="004265F2"/>
    <w:rsid w:val="004308C3"/>
    <w:rsid w:val="004411E6"/>
    <w:rsid w:val="00441F0D"/>
    <w:rsid w:val="004538D4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C6B40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07F99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590"/>
    <w:rsid w:val="0055368B"/>
    <w:rsid w:val="00556DD5"/>
    <w:rsid w:val="005615C3"/>
    <w:rsid w:val="00566C43"/>
    <w:rsid w:val="00574F26"/>
    <w:rsid w:val="005804A0"/>
    <w:rsid w:val="005851D0"/>
    <w:rsid w:val="00590E3B"/>
    <w:rsid w:val="0059414A"/>
    <w:rsid w:val="005971B3"/>
    <w:rsid w:val="005A1AE5"/>
    <w:rsid w:val="005A41CB"/>
    <w:rsid w:val="005A6E1F"/>
    <w:rsid w:val="005B05FA"/>
    <w:rsid w:val="005C01CB"/>
    <w:rsid w:val="005C3C36"/>
    <w:rsid w:val="005D2152"/>
    <w:rsid w:val="005D3A1D"/>
    <w:rsid w:val="005D6194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7553"/>
    <w:rsid w:val="00692AE2"/>
    <w:rsid w:val="00694C09"/>
    <w:rsid w:val="006A64D6"/>
    <w:rsid w:val="006B0E04"/>
    <w:rsid w:val="006B529C"/>
    <w:rsid w:val="006B758E"/>
    <w:rsid w:val="006C2546"/>
    <w:rsid w:val="006C52F4"/>
    <w:rsid w:val="006D3B75"/>
    <w:rsid w:val="006D5EEE"/>
    <w:rsid w:val="006D75FC"/>
    <w:rsid w:val="006E0F57"/>
    <w:rsid w:val="006E3EA2"/>
    <w:rsid w:val="006E5500"/>
    <w:rsid w:val="006E5D23"/>
    <w:rsid w:val="006F4A98"/>
    <w:rsid w:val="00701C00"/>
    <w:rsid w:val="0070481D"/>
    <w:rsid w:val="007112B8"/>
    <w:rsid w:val="007115CA"/>
    <w:rsid w:val="007136FC"/>
    <w:rsid w:val="00714347"/>
    <w:rsid w:val="007207BE"/>
    <w:rsid w:val="00730363"/>
    <w:rsid w:val="00733A52"/>
    <w:rsid w:val="00741B29"/>
    <w:rsid w:val="00750E5C"/>
    <w:rsid w:val="00765F08"/>
    <w:rsid w:val="00773697"/>
    <w:rsid w:val="007740A9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2405B"/>
    <w:rsid w:val="008317FD"/>
    <w:rsid w:val="00831EAA"/>
    <w:rsid w:val="00837710"/>
    <w:rsid w:val="0084502B"/>
    <w:rsid w:val="00850E47"/>
    <w:rsid w:val="0085107B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8F477A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6655C"/>
    <w:rsid w:val="00971600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019EF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13D5"/>
    <w:rsid w:val="00AA7454"/>
    <w:rsid w:val="00AA78A3"/>
    <w:rsid w:val="00AB10A7"/>
    <w:rsid w:val="00AB15A8"/>
    <w:rsid w:val="00AB4510"/>
    <w:rsid w:val="00AB5E46"/>
    <w:rsid w:val="00AC0FAB"/>
    <w:rsid w:val="00AC47B8"/>
    <w:rsid w:val="00AC62CE"/>
    <w:rsid w:val="00AD4624"/>
    <w:rsid w:val="00AD572A"/>
    <w:rsid w:val="00AD6255"/>
    <w:rsid w:val="00AE0A79"/>
    <w:rsid w:val="00AE1031"/>
    <w:rsid w:val="00AE553B"/>
    <w:rsid w:val="00AE5814"/>
    <w:rsid w:val="00AF15C0"/>
    <w:rsid w:val="00AF2356"/>
    <w:rsid w:val="00B00E8F"/>
    <w:rsid w:val="00B04053"/>
    <w:rsid w:val="00B1618D"/>
    <w:rsid w:val="00B21CBF"/>
    <w:rsid w:val="00B221AF"/>
    <w:rsid w:val="00B24CF6"/>
    <w:rsid w:val="00B35E06"/>
    <w:rsid w:val="00B409E6"/>
    <w:rsid w:val="00B4623B"/>
    <w:rsid w:val="00B478DA"/>
    <w:rsid w:val="00B51713"/>
    <w:rsid w:val="00B55505"/>
    <w:rsid w:val="00B57BCB"/>
    <w:rsid w:val="00B6401B"/>
    <w:rsid w:val="00B64903"/>
    <w:rsid w:val="00B66573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D7645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242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DD9"/>
    <w:rsid w:val="00CC7672"/>
    <w:rsid w:val="00CD20C6"/>
    <w:rsid w:val="00CD24D7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377DE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905"/>
    <w:rsid w:val="00D74D99"/>
    <w:rsid w:val="00D74F58"/>
    <w:rsid w:val="00D76AD9"/>
    <w:rsid w:val="00D80A2C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E05B0"/>
    <w:rsid w:val="00DE3A40"/>
    <w:rsid w:val="00DF021D"/>
    <w:rsid w:val="00DF1DF5"/>
    <w:rsid w:val="00E03B55"/>
    <w:rsid w:val="00E03FC0"/>
    <w:rsid w:val="00E10051"/>
    <w:rsid w:val="00E14A24"/>
    <w:rsid w:val="00E31A3D"/>
    <w:rsid w:val="00E33D21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66B84"/>
    <w:rsid w:val="00E7344D"/>
    <w:rsid w:val="00E755BF"/>
    <w:rsid w:val="00E92DFA"/>
    <w:rsid w:val="00E935E9"/>
    <w:rsid w:val="00E937B9"/>
    <w:rsid w:val="00E94204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46D6C"/>
    <w:rsid w:val="00F521EF"/>
    <w:rsid w:val="00F54327"/>
    <w:rsid w:val="00F56A0D"/>
    <w:rsid w:val="00F57555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97475"/>
    <w:rsid w:val="00FA2849"/>
    <w:rsid w:val="00FA2F3D"/>
    <w:rsid w:val="00FA3459"/>
    <w:rsid w:val="00FA74B5"/>
    <w:rsid w:val="00FB39F9"/>
    <w:rsid w:val="00FB5E73"/>
    <w:rsid w:val="00FB7EE7"/>
    <w:rsid w:val="00FC04B6"/>
    <w:rsid w:val="00FE236A"/>
    <w:rsid w:val="00FE5DD4"/>
    <w:rsid w:val="00FF2892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  <w:style w:type="paragraph" w:customStyle="1" w:styleId="s1">
    <w:name w:val="s_1"/>
    <w:basedOn w:val="a"/>
    <w:rsid w:val="0042627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15">
    <w:name w:val="s_15"/>
    <w:basedOn w:val="a"/>
    <w:rsid w:val="0042627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s10">
    <w:name w:val="s_10"/>
    <w:rsid w:val="0042627D"/>
  </w:style>
  <w:style w:type="paragraph" w:customStyle="1" w:styleId="11">
    <w:name w:val="Без интервала1"/>
    <w:rsid w:val="00BD7645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mailto:resp_prok@sakh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proksakha.ru/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8997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2</cp:revision>
  <cp:lastPrinted>2019-05-21T10:32:00Z</cp:lastPrinted>
  <dcterms:created xsi:type="dcterms:W3CDTF">2020-03-23T08:22:00Z</dcterms:created>
  <dcterms:modified xsi:type="dcterms:W3CDTF">2020-03-23T08:22:00Z</dcterms:modified>
</cp:coreProperties>
</file>