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AE30D3" w:rsidRDefault="00EF1A2F" w:rsidP="00591CA0">
      <w:pPr>
        <w:autoSpaceDE w:val="0"/>
        <w:autoSpaceDN w:val="0"/>
        <w:adjustRightInd w:val="0"/>
        <w:spacing w:before="100" w:beforeAutospacing="1" w:after="100" w:afterAutospacing="1"/>
        <w:ind w:firstLine="2410"/>
        <w:jc w:val="both"/>
        <w:rPr>
          <w:rFonts w:ascii="Arial Narrow" w:hAnsi="Arial Narrow"/>
          <w:color w:val="17365D" w:themeColor="text2" w:themeShade="BF"/>
          <w:sz w:val="20"/>
          <w:szCs w:val="20"/>
          <w:lang w:val="ru-RU"/>
        </w:rPr>
      </w:pPr>
      <w:r w:rsidRPr="00AE30D3">
        <w:rPr>
          <w:noProof/>
          <w:color w:val="17365D" w:themeColor="text2" w:themeShade="BF"/>
          <w:lang w:val="ru-RU" w:eastAsia="ru-RU" w:bidi="ar-SA"/>
        </w:rPr>
        <w:drawing>
          <wp:inline distT="0" distB="0" distL="0" distR="0" wp14:anchorId="1348A0B4" wp14:editId="6449C692">
            <wp:extent cx="219075" cy="219075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В связи с ненадлежащим исполнением обязательств застройщика (не предоставлением квартиры в установленный договором срок) дольщик (физлицо) имеет право 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на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:</w:t>
      </w:r>
    </w:p>
    <w:p w:rsidR="00C22B74" w:rsidRPr="00AE30D3" w:rsidRDefault="00C22B74" w:rsidP="00C22B74">
      <w:pPr>
        <w:pStyle w:val="af1"/>
        <w:numPr>
          <w:ilvl w:val="0"/>
          <w:numId w:val="48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Уплату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неустойки (пени)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размере 1/150 ставки рефинансирования ЦБ РФ от цены договора за каждый день просрочки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(ч. 2 ст. 6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</w:rPr>
        <w:t> 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214-ФЗ).</w:t>
      </w:r>
    </w:p>
    <w:p w:rsidR="00C22B74" w:rsidRPr="00AE30D3" w:rsidRDefault="00C22B74" w:rsidP="00C22B74">
      <w:pPr>
        <w:pStyle w:val="af1"/>
        <w:numPr>
          <w:ilvl w:val="0"/>
          <w:numId w:val="48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Расторжение договора в одностороннем порядке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случае неисполнения обязательства застройщика по передаче квартиры более 2-х месяцев с возвратом денежных средств в течени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и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20 дней. </w:t>
      </w:r>
    </w:p>
    <w:p w:rsidR="00714663" w:rsidRDefault="00714663" w:rsidP="00714663">
      <w:pPr>
        <w:pStyle w:val="af1"/>
        <w:numPr>
          <w:ilvl w:val="0"/>
          <w:numId w:val="4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Обеспечение исполнение обязательств застройщика за счёт </w:t>
      </w:r>
      <w:r w:rsidRPr="0071466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поручительства банка или страхования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(по выбору застройщика) </w:t>
      </w: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в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случае государственной регистрации первого </w:t>
      </w: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ДДУ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до создания </w:t>
      </w: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Ф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онд</w:t>
      </w: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а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защиты прав граждан - участников долевого строительства (07.10.2017)</w:t>
      </w:r>
      <w:r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.</w:t>
      </w:r>
      <w:r w:rsidRPr="0071466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4.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Расторжение договора в судебном порядке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случаях: 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прекращения или приостановления строительства при наличии обстоятельств, очевидно свидетельствующих, что квартира не будет передана дольщику в установленный срок;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существенного изменения проектной документации объекта, изменение предусмотренной договором площади помещения более чем на 5 %;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изменение назначения общего имущества и (или) нежилых помещений объекта;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в иных установленных ФЗ или договором случаях (ч. 1.1 ст. 9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</w:rPr>
        <w:t> 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214-ФЗ)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с возвратом денежных средств в течени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и</w:t>
      </w:r>
      <w:proofErr w:type="gram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10 дней. 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При этом застройщик уплачивает проценты за пользование денежными средствами в размере 1/150 ставки рефинансирования ЦБ РФ со дня их внесения по договору и до дня их возврата. Если дольщик не обратился, застройщик обязан внести денежные средства в депозит нотариуса. 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Пройти судебные процедуры необходимо до введения процедур банкротства застройщика!</w:t>
      </w:r>
    </w:p>
    <w:p w:rsidR="00C22B74" w:rsidRPr="00AE30D3" w:rsidRDefault="00C22B74" w:rsidP="00C22B74">
      <w:pPr>
        <w:pStyle w:val="af1"/>
        <w:numPr>
          <w:ilvl w:val="0"/>
          <w:numId w:val="49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Обра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щение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в УГСЖН Р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С(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Я) с предложением о подаче управлением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заявления в суд в защиту прав и законных интересов дольщиков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(это право управления, не обязанность).</w:t>
      </w:r>
    </w:p>
    <w:p w:rsidR="00A0161E" w:rsidRPr="00AE30D3" w:rsidRDefault="00BC4502" w:rsidP="00A0161E">
      <w:pPr>
        <w:pStyle w:val="af1"/>
        <w:numPr>
          <w:ilvl w:val="0"/>
          <w:numId w:val="49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П</w:t>
      </w:r>
      <w:r w:rsidR="00A0161E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одачу в суд </w:t>
      </w:r>
      <w:proofErr w:type="gramStart"/>
      <w:r w:rsidR="00A0161E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прокурором</w:t>
      </w:r>
      <w:proofErr w:type="gramEnd"/>
      <w:r w:rsidR="00A0161E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случае если по состоянию здоровья, возрасту, недееспособности и другим уважительным причинам дольщик не может сам обратиться в суд (требуется документальное подтверждение) </w:t>
      </w:r>
      <w:r w:rsidR="00A0161E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 45 ГПК РФ).</w:t>
      </w:r>
    </w:p>
    <w:p w:rsidR="00C22B74" w:rsidRPr="00AE30D3" w:rsidRDefault="00C22B74" w:rsidP="00C22B74">
      <w:pPr>
        <w:pStyle w:val="af1"/>
        <w:numPr>
          <w:ilvl w:val="0"/>
          <w:numId w:val="49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lastRenderedPageBreak/>
        <w:t>Обращение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по истечении 6 месяцев (с указанного в договоре  срока передачи квартиры или с даты прекращения, приостановления строительства)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взыскания </w:t>
      </w:r>
      <w:proofErr w:type="gramStart"/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на</w:t>
      </w:r>
      <w:proofErr w:type="gramEnd"/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 находящиеся у дольщиков в залоге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силу закона: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принадлежащий застройщик</w:t>
      </w:r>
      <w:r w:rsidR="00AD414B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у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на праве собственности земельный участок или право аренды земельного участка, предоставленного для строительства;</w:t>
      </w:r>
    </w:p>
    <w:p w:rsidR="001A060B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- строящийся объект недвижимости или незавершённое строительство, на не являющиеся объектами долевого строительства помещения объекта, введённого в эксплуатацию.</w:t>
      </w:r>
    </w:p>
    <w:p w:rsidR="001A060B" w:rsidRPr="00AE30D3" w:rsidRDefault="001A060B" w:rsidP="001A060B">
      <w:pPr>
        <w:pStyle w:val="af1"/>
        <w:ind w:left="0"/>
        <w:jc w:val="center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noProof/>
          <w:color w:val="17365D" w:themeColor="text2" w:themeShade="BF"/>
          <w:lang w:val="ru-RU" w:eastAsia="ru-RU" w:bidi="ar-SA"/>
        </w:rPr>
        <w:drawing>
          <wp:inline distT="0" distB="0" distL="0" distR="0" wp14:anchorId="7D53BD2E" wp14:editId="108D8E5E">
            <wp:extent cx="1514668" cy="866775"/>
            <wp:effectExtent l="0" t="0" r="0" b="0"/>
            <wp:docPr id="2" name="Рисунок 2" descr="ÐÐ°ÑÑÐ¸Ð½ÐºÐ¸ Ð¿Ð¾ Ð·Ð°Ð¿ÑÐ¾ÑÑ ÐÐ½Ð°Ð¹ ÑÐ²Ð¾Ð¸ Ð¿ÑÐ°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Ð½Ð°Ð¹ ÑÐ²Ð¾Ð¸ Ð¿ÑÐ°Ð²Ð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777" cy="87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B74" w:rsidRPr="00AE30D3" w:rsidRDefault="00BC4502" w:rsidP="00C22B74">
      <w:pPr>
        <w:pStyle w:val="af1"/>
        <w:numPr>
          <w:ilvl w:val="0"/>
          <w:numId w:val="49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ропорциональное (размерам требований) распределение средств между дольщиками и иным залогодержателем (кредитором по кредитным обязательствам) от реализации имущества в случае и</w:t>
      </w:r>
      <w:r w:rsidR="00AD414B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х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недостаточности. </w:t>
      </w:r>
    </w:p>
    <w:p w:rsidR="00C22B74" w:rsidRPr="00AE30D3" w:rsidRDefault="00C22B74" w:rsidP="00C22B74">
      <w:pPr>
        <w:pStyle w:val="af1"/>
        <w:numPr>
          <w:ilvl w:val="0"/>
          <w:numId w:val="49"/>
        </w:numPr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Возмещение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полном объёме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причинённых убытков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сверх неустойки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 10, п. 2 ст. 201.5 ФЗ «О несостоятельности (банкротстве)»).</w:t>
      </w:r>
    </w:p>
    <w:p w:rsidR="00C22B74" w:rsidRPr="00AE30D3" w:rsidRDefault="00F17436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10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О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тнесение к числу пострадавших граждан и  </w:t>
      </w:r>
      <w:r w:rsidR="00C22B74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включение в реестр пострадавших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граждан в соответствии с критериями, утверждёнными приказом Минстроя России от 12.08.2016 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</w:rPr>
        <w:t>N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560/пр.</w:t>
      </w:r>
    </w:p>
    <w:p w:rsidR="00D82B98" w:rsidRPr="00AE30D3" w:rsidRDefault="00D82B98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Признание объекта 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проблемным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возлагает на региональные власти необходимость утвердить его «дорожные карты» и ежеквартально предоставлять отчёт в Минстрой России о ходе урегулирования проблемы.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На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рассмотрение застройщиком претензии в 10-дневный срок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со дня предъявления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 31 Закона РФ «О защите прав потребителей»)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К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омпенсацию застройщиком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морального вреда,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причинённого дольщику (потребителю) вследствие нарушения застройщиком его прав, предусмотренных законом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(ст.15 Закона РФ «О защите прав потребителей»)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. Это также необходимо сделать до введения процедур банкротства должника!</w:t>
      </w:r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3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зыскание, при удовлетворении судом требований дольщика по договору, с застройщика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штрафа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размере 50 % от суммы, присуждённой судом в пользу потребителя, за несоблюдение в добровольном порядке удовлетворения требований дольщика (потребителя) в ходе претензионного порядка урегулирования спора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 ч. 6, с т. 13 Закона РФ «О защите прав потребителей»)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независимо от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lastRenderedPageBreak/>
        <w:t xml:space="preserve">того, заявлялось ли такое требование суду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(п. 46 Постановления Пленума</w:t>
      </w:r>
      <w:proofErr w:type="gram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Верховного Суда РФ от 28.06.2012 № 17 «О рассмотрении судами гражданских дел по спорам о защите прав потребителей»).</w:t>
      </w:r>
      <w:proofErr w:type="gramEnd"/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4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одачу в суд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иска об установлении права собственности на долю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объекте незавершённого строительства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ст.ст</w:t>
      </w:r>
      <w:proofErr w:type="spell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. 130, 218 ГК РФ, 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ст.ст</w:t>
      </w:r>
      <w:proofErr w:type="spell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. 15, 16, 18 ЖК РФ)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или на объект недвижимости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ст.ст</w:t>
      </w:r>
      <w:proofErr w:type="spell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. 130, 218, 702, 729 ГК РФ, ст. 6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</w:rPr>
        <w:t> 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214-ФЗ)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(такие иски целесообразны, если объект построен, их необходимо предпринять до введения процедур банкротства застройщика!).</w:t>
      </w:r>
      <w:proofErr w:type="gramEnd"/>
    </w:p>
    <w:p w:rsidR="00C22B74" w:rsidRPr="00AE30D3" w:rsidRDefault="00C22B74" w:rsidP="00C22B74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5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В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зыскание с </w:t>
      </w:r>
      <w:proofErr w:type="spellStart"/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бенефициарного</w:t>
      </w:r>
      <w:proofErr w:type="spellEnd"/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 владельца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(лица, имеющего возможность определять действия застройщика, в 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т.ч</w:t>
      </w:r>
      <w:proofErr w:type="spell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давать указания руководителю и члену коллегиальных органов управления застройщика)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солидарно с застройщиком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причинённых по их вине убытков (с 01.07.2018)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</w:t>
      </w:r>
      <w:r w:rsidR="00A0161E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ст. 23.2 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214-ФЗ).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outlineLvl w:val="0"/>
        <w:rPr>
          <w:rFonts w:ascii="Times New Roman" w:hAnsi="Times New Roman"/>
          <w:b/>
          <w:bCs/>
          <w:color w:val="17365D" w:themeColor="text2" w:themeShade="BF"/>
          <w:sz w:val="16"/>
          <w:szCs w:val="16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6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А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льтернативную подсудность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- подачу в суд иска к застройщику (о защите прав потребителя) по месту жительства или месту пребывания истца либо по месту заключения или месту исполнения договора </w:t>
      </w:r>
      <w:r w:rsidRPr="00AE30D3">
        <w:rPr>
          <w:rFonts w:ascii="Times New Roman" w:hAnsi="Times New Roman"/>
          <w:bCs/>
          <w:color w:val="17365D" w:themeColor="text2" w:themeShade="BF"/>
          <w:sz w:val="16"/>
          <w:szCs w:val="16"/>
          <w:lang w:val="ru-RU"/>
        </w:rPr>
        <w:t>(п. 7 ст. 29 ГПК РФ).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7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О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свобождение  от уплаты государственной пошлины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по искам до 1 млн. рублей, связанным с нарушением прав дольщика (потребителя) по делам, рассматриваемым Верховным Судом РФ в соответствии с гражданским процессуальным законодательством и законодательством об административном судопроизводстве, судами общей юрисдикции, мировыми судьями. Если цена иска 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превышает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уплачивается  госпошлина, исчисленная в соответствии с </w:t>
      </w:r>
      <w:hyperlink r:id="rId11" w:history="1">
        <w:proofErr w:type="spellStart"/>
        <w:r w:rsidRPr="00AE30D3">
          <w:rPr>
            <w:rFonts w:ascii="Times New Roman" w:hAnsi="Times New Roman"/>
            <w:color w:val="17365D" w:themeColor="text2" w:themeShade="BF"/>
            <w:sz w:val="20"/>
            <w:szCs w:val="20"/>
            <w:lang w:val="ru-RU"/>
          </w:rPr>
          <w:t>пдп</w:t>
        </w:r>
        <w:proofErr w:type="spellEnd"/>
        <w:r w:rsidRPr="00AE30D3">
          <w:rPr>
            <w:rFonts w:ascii="Times New Roman" w:hAnsi="Times New Roman"/>
            <w:color w:val="17365D" w:themeColor="text2" w:themeShade="BF"/>
            <w:sz w:val="20"/>
            <w:szCs w:val="20"/>
            <w:lang w:val="ru-RU"/>
          </w:rPr>
          <w:t>. 1 п. 1 статьи 333.19</w:t>
        </w:r>
      </w:hyperlink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НК РФ и уменьшенная на сумму госпошлины, подлежащей уплате при цене иска 1 млн. рублей 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(п. 4 ч. 2 ст. 333.36 РК РФ).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8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олучение в налоговом органе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информации об имуществе должника, включая счета в банках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и других кредитных организациях (список и реквизиты банковских счетов), в течени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и</w:t>
      </w:r>
      <w:proofErr w:type="gram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7 рабочих дней (ст. 69 ФЗ «Об исполнительном производстве») (к заявлению прилагается нотариально заверенные копии судебного решения и исполнительного листа).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9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Самостоятельное направление исполнительного листа в банк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, где у застройщика открыт расчётный счёт, с заявлением о взыскании денежных средств с застройщика по решению суда на основании исполнительного документа (с приложением оригинала исполнительного документа, копии судебного решения с отметкой о вступлении в законную силу,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lastRenderedPageBreak/>
        <w:t xml:space="preserve">копии паспорта) для исполнения в 3-х 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дневный</w:t>
      </w:r>
      <w:proofErr w:type="spell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срок (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м.б</w:t>
      </w:r>
      <w:proofErr w:type="spell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продлён до 7)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(ч. 1 ст. 8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</w:rPr>
        <w:t> 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ФЗ</w:t>
      </w:r>
      <w:proofErr w:type="gram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«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Об исполнительном производстве»)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(целесообразно, если застройщик все ещё осуществляет финансово-хозяйственную деятельность).</w:t>
      </w:r>
      <w:proofErr w:type="gramEnd"/>
    </w:p>
    <w:p w:rsidR="00C22B74" w:rsidRPr="00AE30D3" w:rsidRDefault="00F17436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20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Направление исполнительного листа (оригинала) для </w:t>
      </w:r>
      <w:r w:rsidR="00C22B74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принудительного исполнения в службу судебных приставов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 заявлением о возбуждении исполнительного производства (в свободной форме с указанием всей известной информации о застройщике: банковские счета, имущество, дебиторы, контакты учредителей, директоров, бухгалтеров и т.д.) по местонахождению застройщика или его имущества с ходатайством о принятии обеспечительных мер (в виде ограничения расходных операций по кассе,  наложения ареста на</w:t>
      </w:r>
      <w:proofErr w:type="gramEnd"/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имущество должника и запрета отчуждения, запрет регистрационных действий, арест дебиторской задолженности и т.д.), которое должно быть рассмотрено в течени</w:t>
      </w:r>
      <w:proofErr w:type="gramStart"/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и</w:t>
      </w:r>
      <w:proofErr w:type="gramEnd"/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1 дня с даты поступления </w:t>
      </w:r>
      <w:r w:rsidR="00C22B74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</w:t>
      </w:r>
      <w:proofErr w:type="spellStart"/>
      <w:r w:rsidR="00C22B74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ст.ст</w:t>
      </w:r>
      <w:proofErr w:type="spellEnd"/>
      <w:r w:rsidR="00C22B74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. 2, 30, ч. 2 ст. 80 ФЗ «Об исполнительном производстве»)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(целесообразно, если застройщик не имеет средств на счетах). 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По общему правилу з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аявление подлежит исполнению в 2-х месячный срок со дня возбуждения исполнительного производства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.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1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ериодическое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ознакомление с материалами исполнительного производства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(ст. 50 ФЗ «Об исполнительном производстве»), т.е. осуществление контроля за работой судебного пристава-исполнителя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(проверять наличие запросов в налоговый орган и банки по выявлению банковских счетов застройщика и денежных средств на них, запросов по розыску имущества, его описи, наложению ареста без права пользования, запрета регистрационных действий, запросов баланса должника с расшифровкой по строке «дебиторская</w:t>
      </w:r>
      <w:proofErr w:type="gram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</w:t>
      </w:r>
      <w:proofErr w:type="gram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задолженность» и подтверждающих её документов, проверки банка исполнительных производств, электронной карты арбитражных дел для выявления задолженности дебиторов с целью ареста средств, поступивших на депозит ССП, выявление  сдачи имущества в аренду, ареста арендных платежей, отслеживание по выписке с банковского счёта оплаты от контрагентов, запроса у 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интернет-провайдера</w:t>
      </w:r>
      <w:proofErr w:type="spell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сведений об адресе, по которому должник подключён к интернету, выезд по этому адресу с целью</w:t>
      </w:r>
      <w:proofErr w:type="gramEnd"/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 xml:space="preserve"> ареста имущества и т.д. (ст. 76 ФЗ «Об исполнительном производстве», Методических рекомендаций по использованию сети Интернет в целях поиска информации о должниках их имущества, утв. ФССП России от 30.11.2010 № 02-7)</w:t>
      </w:r>
    </w:p>
    <w:p w:rsidR="00C22B74" w:rsidRPr="00AE30D3" w:rsidRDefault="00C22B74" w:rsidP="00C22B74">
      <w:pPr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Обращение с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жалобой на постановление судебных приставов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, его действия (бездействие) в течение 10 дней со дня их совершения или установления факта его бездействия либо отказа в отводе в адрес вышестоящего должностного лица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или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суда.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Также вправе обратиться в прокуратуру.</w:t>
      </w:r>
    </w:p>
    <w:p w:rsidR="00A34CEE" w:rsidRPr="00AE30D3" w:rsidRDefault="00C22B74" w:rsidP="00A34CEE">
      <w:pPr>
        <w:autoSpaceDE w:val="0"/>
        <w:autoSpaceDN w:val="0"/>
        <w:adjustRightInd w:val="0"/>
        <w:ind w:firstLine="284"/>
        <w:jc w:val="both"/>
        <w:outlineLvl w:val="0"/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3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A34CEE" w:rsidRPr="00AE30D3"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  <w:t xml:space="preserve">Заявление в рамках уголовного дела гражданского иска о возмещении имущественного и морального вреда </w:t>
      </w:r>
      <w:r w:rsidR="00A34CEE" w:rsidRPr="00AE30D3"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  <w:lastRenderedPageBreak/>
        <w:t xml:space="preserve">с освобождением от уплаты государственной пошлины (ст. 44 УПК РФ) </w:t>
      </w:r>
    </w:p>
    <w:p w:rsidR="00A34CEE" w:rsidRPr="00AE30D3" w:rsidRDefault="00A34CEE" w:rsidP="00A34CEE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4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. Меры со стороны следователя, дознавателя по установлению имущества подозреваемого, обвиняемого либо лиц, которые несут ответственность за причинённый ими вред, стоимость которого обеспечивает возмещение причинённого вреда, на н</w:t>
      </w:r>
      <w:r w:rsidRPr="00AE30D3"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  <w:t xml:space="preserve">аложение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по ходатайству следователя</w:t>
      </w:r>
      <w:r w:rsidRPr="00AE30D3"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  <w:t xml:space="preserve"> судом ареста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(запрет распоряжаться или пользоваться) </w:t>
      </w:r>
      <w:r w:rsidRPr="00AE30D3">
        <w:rPr>
          <w:rFonts w:ascii="Times New Roman" w:hAnsi="Times New Roman"/>
          <w:bCs/>
          <w:color w:val="17365D" w:themeColor="text2" w:themeShade="BF"/>
          <w:sz w:val="20"/>
          <w:szCs w:val="20"/>
          <w:lang w:val="ru-RU"/>
        </w:rPr>
        <w:t xml:space="preserve">на данное имущество 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(ст. 115, 160.1 УПК РФ)</w:t>
      </w:r>
    </w:p>
    <w:p w:rsidR="00376702" w:rsidRPr="00AE30D3" w:rsidRDefault="00A34CEE" w:rsidP="00376702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5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proofErr w:type="gramStart"/>
      <w:r w:rsidR="00376702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Направление заявления в арбитражный суд</w:t>
      </w:r>
      <w:r w:rsidR="003767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о признании должника банкротом  (если обязательства не исполнены им в течение 3 месяцев с даты, требования к застройщику составляют не менее 300 тыс. и подтверждены вступившим в законную силу решением суда (ст. 3, 6, 7 ФЗ «О несостоятельности (банкротстве)».</w:t>
      </w:r>
      <w:proofErr w:type="gramEnd"/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6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Включение требований к застройщику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(о возврате денежных средств, передаче квартиры и др.)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в реестр требований кредиторов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 201.</w:t>
      </w:r>
      <w:r w:rsidR="00F17436"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7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)»</w:t>
      </w:r>
      <w:r w:rsidR="003767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.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</w:p>
    <w:p w:rsidR="00C22B74" w:rsidRPr="00AE30D3" w:rsidRDefault="00C22B74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7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Участвовать в собраниях кредиторов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и обладать числом голосов исходя из цены договора, размера убытков и пропорционально сумме всей денежной задолженности.</w:t>
      </w:r>
    </w:p>
    <w:p w:rsidR="00BC4502" w:rsidRPr="00AE30D3" w:rsidRDefault="00BC4502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8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Обжалование действий арбитражного управляющего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в </w:t>
      </w:r>
      <w:r w:rsidR="009468F1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управление </w:t>
      </w:r>
      <w:proofErr w:type="spellStart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Росреестр</w:t>
      </w:r>
      <w:r w:rsidR="009468F1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а</w:t>
      </w:r>
      <w:proofErr w:type="spellEnd"/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, СРО, прокуратуру, суд.</w:t>
      </w:r>
    </w:p>
    <w:p w:rsidR="00DC7D31" w:rsidRPr="00AE30D3" w:rsidRDefault="00DC7D31" w:rsidP="00C22B74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2</w:t>
      </w:r>
      <w:r w:rsidR="00F17436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9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У</w:t>
      </w:r>
      <w:r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>довлетворение требований в третьей очереди</w:t>
      </w:r>
      <w:r w:rsidR="00D82B98" w:rsidRPr="00AE30D3">
        <w:rPr>
          <w:rFonts w:ascii="Times New Roman" w:hAnsi="Times New Roman"/>
          <w:b/>
          <w:color w:val="17365D" w:themeColor="text2" w:themeShade="BF"/>
          <w:sz w:val="20"/>
          <w:szCs w:val="20"/>
          <w:lang w:val="ru-RU"/>
        </w:rPr>
        <w:t xml:space="preserve"> кредиторов</w:t>
      </w: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 </w:t>
      </w:r>
      <w:r w:rsidRPr="00AE30D3">
        <w:rPr>
          <w:rFonts w:ascii="Times New Roman" w:hAnsi="Times New Roman"/>
          <w:color w:val="17365D" w:themeColor="text2" w:themeShade="BF"/>
          <w:sz w:val="16"/>
          <w:szCs w:val="16"/>
          <w:lang w:val="ru-RU"/>
        </w:rPr>
        <w:t>(ст. 201.9)</w:t>
      </w:r>
    </w:p>
    <w:p w:rsidR="00D82B98" w:rsidRPr="00AE30D3" w:rsidRDefault="00F17436" w:rsidP="00D82B98">
      <w:pPr>
        <w:pStyle w:val="af1"/>
        <w:ind w:left="0" w:firstLine="284"/>
        <w:jc w:val="both"/>
        <w:rPr>
          <w:rFonts w:ascii="Times New Roman" w:hAnsi="Times New Roman"/>
          <w:color w:val="17365D" w:themeColor="text2" w:themeShade="BF"/>
          <w:sz w:val="20"/>
          <w:szCs w:val="20"/>
          <w:lang w:val="ru-RU" w:eastAsia="ru-RU" w:bidi="ar-SA"/>
        </w:rPr>
      </w:pPr>
      <w:r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30</w:t>
      </w:r>
      <w:r w:rsidR="00C22B74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. </w:t>
      </w:r>
      <w:r w:rsidR="00BC4502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В</w:t>
      </w:r>
      <w:r w:rsidR="00D82B98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 xml:space="preserve">ключение в региональный </w:t>
      </w:r>
      <w:r w:rsidR="00D82B98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 w:eastAsia="ru-RU" w:bidi="ar-SA"/>
        </w:rPr>
        <w:t xml:space="preserve">реестр пострадавших участников строительства при соблюдении условий по ст. 3 </w:t>
      </w:r>
      <w:r w:rsidR="00D82B98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Закона Р</w:t>
      </w:r>
      <w:proofErr w:type="gramStart"/>
      <w:r w:rsidR="00D82B98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С(</w:t>
      </w:r>
      <w:proofErr w:type="gramEnd"/>
      <w:r w:rsidR="00D82B98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Я) "О мерах государственной поддержки граждан, пострадавших в результате неисполнения заст</w:t>
      </w:r>
      <w:r w:rsidR="00AE30D3" w:rsidRPr="00AE30D3">
        <w:rPr>
          <w:rFonts w:ascii="Times New Roman" w:hAnsi="Times New Roman"/>
          <w:color w:val="17365D" w:themeColor="text2" w:themeShade="BF"/>
          <w:sz w:val="20"/>
          <w:szCs w:val="20"/>
          <w:lang w:val="ru-RU"/>
        </w:rPr>
        <w:t>ройщиками своих обязательств" (</w:t>
      </w:r>
      <w:hyperlink r:id="rId12" w:history="1">
        <w:r w:rsidR="00AE30D3" w:rsidRPr="00AE30D3">
          <w:rPr>
            <w:rFonts w:ascii="Times New Roman" w:hAnsi="Times New Roman"/>
            <w:bCs/>
            <w:color w:val="17365D" w:themeColor="text2" w:themeShade="BF"/>
            <w:sz w:val="20"/>
            <w:szCs w:val="20"/>
            <w:lang w:val="ru-RU" w:eastAsia="ru-RU" w:bidi="ar-SA"/>
          </w:rPr>
          <w:t xml:space="preserve">денежная  выплата пострадавшему, содействие застройщику достраивающему проблемный объект или субсидии созданному пострадавшими ЖСК).  </w:t>
        </w:r>
      </w:hyperlink>
    </w:p>
    <w:p w:rsidR="00EC2FF0" w:rsidRDefault="00EC2FF0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714663" w:rsidRDefault="0071466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  <w:bookmarkStart w:id="0" w:name="_GoBack"/>
      <w:bookmarkEnd w:id="0"/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E30D3" w:rsidRPr="00C60C43" w:rsidRDefault="00AE30D3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A34CEE" w:rsidRPr="00C60C43" w:rsidRDefault="00A34CEE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</w:p>
    <w:p w:rsidR="001A060B" w:rsidRPr="00C60C43" w:rsidRDefault="001A060B" w:rsidP="001A060B">
      <w:pPr>
        <w:pStyle w:val="unknownstyle1"/>
        <w:widowControl w:val="0"/>
        <w:spacing w:line="240" w:lineRule="auto"/>
        <w:rPr>
          <w:rFonts w:ascii="Times New Roman" w:hAnsi="Times New Roman"/>
          <w:bCs/>
          <w:color w:val="17365D" w:themeColor="text2" w:themeShade="BF"/>
          <w:sz w:val="18"/>
          <w:szCs w:val="18"/>
        </w:rPr>
      </w:pPr>
      <w:r w:rsidRPr="00C60C43">
        <w:rPr>
          <w:rFonts w:ascii="Times New Roman" w:hAnsi="Times New Roman"/>
          <w:bCs/>
          <w:color w:val="17365D" w:themeColor="text2" w:themeShade="BF"/>
          <w:sz w:val="18"/>
          <w:szCs w:val="18"/>
        </w:rPr>
        <w:t>Прокуратура Республики Саха (Якутия)</w:t>
      </w:r>
      <w:r w:rsidR="00EC2FF0" w:rsidRPr="00C60C43">
        <w:rPr>
          <w:rFonts w:ascii="Times New Roman" w:hAnsi="Times New Roman"/>
          <w:bCs/>
          <w:color w:val="17365D" w:themeColor="text2" w:themeShade="BF"/>
          <w:sz w:val="18"/>
          <w:szCs w:val="18"/>
        </w:rPr>
        <w:t xml:space="preserve">, </w:t>
      </w:r>
      <w:r w:rsidRPr="00C60C43">
        <w:rPr>
          <w:rFonts w:ascii="Times New Roman" w:hAnsi="Times New Roman"/>
          <w:bCs/>
          <w:color w:val="17365D" w:themeColor="text2" w:themeShade="BF"/>
          <w:sz w:val="18"/>
          <w:szCs w:val="18"/>
        </w:rPr>
        <w:t xml:space="preserve">677000, г. Якутск, пр. Ленина, 48, </w:t>
      </w:r>
      <w:hyperlink r:id="rId13" w:history="1"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  <w:lang w:val="en-US"/>
          </w:rPr>
          <w:t>http</w:t>
        </w:r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</w:rPr>
          <w:t>://</w:t>
        </w:r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  <w:lang w:val="en-US"/>
          </w:rPr>
          <w:t>proksakha</w:t>
        </w:r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</w:rPr>
          <w:t>.</w:t>
        </w:r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  <w:lang w:val="en-US"/>
          </w:rPr>
          <w:t>ru</w:t>
        </w:r>
        <w:r w:rsidRPr="00C60C43">
          <w:rPr>
            <w:rStyle w:val="a3"/>
            <w:rFonts w:ascii="Times New Roman" w:hAnsi="Times New Roman"/>
            <w:bCs/>
            <w:color w:val="17365D" w:themeColor="text2" w:themeShade="BF"/>
            <w:sz w:val="18"/>
            <w:szCs w:val="18"/>
            <w:u w:val="none"/>
          </w:rPr>
          <w:t>/</w:t>
        </w:r>
      </w:hyperlink>
      <w:r w:rsidR="00EC2FF0" w:rsidRPr="00C60C43">
        <w:rPr>
          <w:rStyle w:val="a3"/>
          <w:rFonts w:ascii="Times New Roman" w:hAnsi="Times New Roman"/>
          <w:bCs/>
          <w:color w:val="17365D" w:themeColor="text2" w:themeShade="BF"/>
          <w:sz w:val="18"/>
          <w:szCs w:val="18"/>
          <w:u w:val="none"/>
        </w:rPr>
        <w:t xml:space="preserve">, </w:t>
      </w:r>
      <w:proofErr w:type="gramStart"/>
      <w:r w:rsidRPr="00C60C43">
        <w:rPr>
          <w:rFonts w:ascii="Times New Roman" w:hAnsi="Times New Roman"/>
          <w:color w:val="17365D" w:themeColor="text2" w:themeShade="BF"/>
          <w:sz w:val="18"/>
          <w:szCs w:val="18"/>
        </w:rPr>
        <w:t>е</w:t>
      </w:r>
      <w:proofErr w:type="gramEnd"/>
      <w:r w:rsidRPr="00C60C43">
        <w:rPr>
          <w:rFonts w:ascii="Times New Roman" w:hAnsi="Times New Roman"/>
          <w:color w:val="17365D" w:themeColor="text2" w:themeShade="BF"/>
          <w:sz w:val="18"/>
          <w:szCs w:val="18"/>
        </w:rPr>
        <w:t>-</w:t>
      </w:r>
      <w:r w:rsidRPr="00C60C43">
        <w:rPr>
          <w:rFonts w:ascii="Times New Roman" w:hAnsi="Times New Roman"/>
          <w:color w:val="17365D" w:themeColor="text2" w:themeShade="BF"/>
          <w:sz w:val="18"/>
          <w:szCs w:val="18"/>
          <w:lang w:val="en-US"/>
        </w:rPr>
        <w:t>mail</w:t>
      </w:r>
      <w:r w:rsidRPr="00C60C43">
        <w:rPr>
          <w:rFonts w:ascii="Times New Roman" w:hAnsi="Times New Roman"/>
          <w:color w:val="17365D" w:themeColor="text2" w:themeShade="BF"/>
          <w:sz w:val="18"/>
          <w:szCs w:val="18"/>
        </w:rPr>
        <w:t>:</w:t>
      </w:r>
      <w:r w:rsidRPr="00C60C43">
        <w:rPr>
          <w:rFonts w:ascii="Times New Roman" w:hAnsi="Times New Roman"/>
          <w:b/>
          <w:color w:val="17365D" w:themeColor="text2" w:themeShade="BF"/>
          <w:sz w:val="18"/>
          <w:szCs w:val="18"/>
        </w:rPr>
        <w:t xml:space="preserve"> </w:t>
      </w:r>
      <w:hyperlink r:id="rId14" w:history="1"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  <w:lang w:val="en-US"/>
          </w:rPr>
          <w:t>resp</w:t>
        </w:r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</w:rPr>
          <w:t>_</w:t>
        </w:r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  <w:lang w:val="en-US"/>
          </w:rPr>
          <w:t>prok</w:t>
        </w:r>
        <w:r w:rsidRPr="00C60C43">
          <w:rPr>
            <w:rStyle w:val="a3"/>
            <w:rFonts w:ascii="Times New Roman" w:hAnsi="Times New Roman"/>
            <w:i/>
            <w:color w:val="17365D" w:themeColor="text2" w:themeShade="BF"/>
            <w:sz w:val="18"/>
            <w:szCs w:val="18"/>
            <w:u w:val="none"/>
          </w:rPr>
          <w:t>@</w:t>
        </w:r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  <w:lang w:val="en-US"/>
          </w:rPr>
          <w:t>sakha</w:t>
        </w:r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</w:rPr>
          <w:t>.</w:t>
        </w:r>
        <w:proofErr w:type="spellStart"/>
        <w:r w:rsidRPr="00C60C43">
          <w:rPr>
            <w:rStyle w:val="a3"/>
            <w:rFonts w:ascii="Times New Roman" w:hAnsi="Times New Roman"/>
            <w:color w:val="17365D" w:themeColor="text2" w:themeShade="BF"/>
            <w:sz w:val="18"/>
            <w:szCs w:val="18"/>
            <w:u w:val="none"/>
            <w:lang w:val="en-US"/>
          </w:rPr>
          <w:t>ru</w:t>
        </w:r>
        <w:proofErr w:type="spellEnd"/>
      </w:hyperlink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9"/>
        <w:gridCol w:w="4670"/>
      </w:tblGrid>
      <w:tr w:rsidR="00C60C43" w:rsidRPr="00714663" w:rsidTr="00367783">
        <w:trPr>
          <w:trHeight w:val="1140"/>
        </w:trPr>
        <w:tc>
          <w:tcPr>
            <w:tcW w:w="426" w:type="dxa"/>
          </w:tcPr>
          <w:p w:rsidR="00051041" w:rsidRPr="00C60C43" w:rsidRDefault="00367783" w:rsidP="00367783">
            <w:pPr>
              <w:jc w:val="center"/>
              <w:rPr>
                <w:rFonts w:ascii="Arial Narrow" w:hAnsi="Arial Narrow"/>
                <w:b/>
                <w:color w:val="17365D" w:themeColor="text2" w:themeShade="BF"/>
                <w:sz w:val="26"/>
                <w:szCs w:val="26"/>
                <w:lang w:val="ru-RU"/>
              </w:rPr>
            </w:pPr>
            <w:r w:rsidRPr="00C60C43">
              <w:rPr>
                <w:rFonts w:ascii="Arial Narrow" w:hAnsi="Arial Narrow"/>
                <w:b/>
                <w:color w:val="17365D" w:themeColor="text2" w:themeShade="BF"/>
                <w:sz w:val="25"/>
                <w:szCs w:val="25"/>
                <w:lang w:val="ru-RU"/>
              </w:rPr>
              <w:lastRenderedPageBreak/>
              <w:t xml:space="preserve">        </w:t>
            </w:r>
            <w:r w:rsidR="00051041" w:rsidRPr="00C60C43">
              <w:rPr>
                <w:rFonts w:ascii="Arial Narrow" w:hAnsi="Arial Narrow"/>
                <w:b/>
                <w:color w:val="17365D" w:themeColor="text2" w:themeShade="BF"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Pr="00C60C43" w:rsidRDefault="00367783" w:rsidP="00035830">
            <w:pPr>
              <w:ind w:left="1593"/>
              <w:rPr>
                <w:rFonts w:ascii="Arial Narrow" w:hAnsi="Arial Narrow"/>
                <w:b/>
                <w:color w:val="17365D" w:themeColor="text2" w:themeShade="BF"/>
                <w:sz w:val="26"/>
                <w:szCs w:val="26"/>
                <w:lang w:val="ru-RU"/>
              </w:rPr>
            </w:pPr>
            <w:r w:rsidRPr="00C60C43">
              <w:rPr>
                <w:rFonts w:ascii="Arial Narrow" w:hAnsi="Arial Narrow"/>
                <w:bCs/>
                <w:iCs/>
                <w:noProof/>
                <w:color w:val="17365D" w:themeColor="text2" w:themeShade="BF"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0C9307A2" wp14:editId="7F989296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Pr="00C60C43" w:rsidRDefault="00367783" w:rsidP="00367783">
            <w:pPr>
              <w:ind w:left="459"/>
              <w:rPr>
                <w:rFonts w:ascii="Arial Narrow" w:hAnsi="Arial Narrow"/>
                <w:b/>
                <w:color w:val="17365D" w:themeColor="text2" w:themeShade="BF"/>
                <w:sz w:val="26"/>
                <w:szCs w:val="26"/>
                <w:lang w:val="ru-RU"/>
              </w:rPr>
            </w:pPr>
          </w:p>
          <w:p w:rsidR="00367783" w:rsidRPr="00B14145" w:rsidRDefault="00367783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</w:pPr>
            <w:r w:rsidRPr="00B14145"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  <w:t xml:space="preserve">Прокуратура </w:t>
            </w:r>
            <w:r w:rsidR="00B97028" w:rsidRPr="00B14145">
              <w:rPr>
                <w:rFonts w:asciiTheme="minorHAnsi" w:hAnsiTheme="minorHAnsi" w:cstheme="minorHAnsi"/>
                <w:b/>
                <w:i/>
                <w:color w:val="00B050"/>
                <w:lang w:val="ru-RU"/>
              </w:rPr>
              <w:t>Республики Саха (Якутия)</w:t>
            </w:r>
          </w:p>
          <w:p w:rsidR="00B14145" w:rsidRDefault="00B14145" w:rsidP="00367783">
            <w:pPr>
              <w:tabs>
                <w:tab w:val="left" w:pos="0"/>
              </w:tabs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14145" w:rsidRDefault="00B14145" w:rsidP="00367783">
            <w:pPr>
              <w:tabs>
                <w:tab w:val="left" w:pos="0"/>
              </w:tabs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14145" w:rsidRDefault="00B14145" w:rsidP="00367783">
            <w:pPr>
              <w:tabs>
                <w:tab w:val="left" w:pos="0"/>
              </w:tabs>
              <w:ind w:firstLine="33"/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</w:p>
          <w:p w:rsidR="00B14145" w:rsidRPr="00B14145" w:rsidRDefault="00B14145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FF0000"/>
                <w:sz w:val="44"/>
                <w:szCs w:val="44"/>
                <w:lang w:val="ru-RU"/>
              </w:rPr>
            </w:pPr>
            <w:r w:rsidRPr="00B14145"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  <w:t>Защита прав участников долевого строительства</w:t>
            </w:r>
          </w:p>
          <w:p w:rsidR="00051041" w:rsidRPr="00C60C43" w:rsidRDefault="00051041" w:rsidP="007E31C9">
            <w:pPr>
              <w:jc w:val="center"/>
              <w:rPr>
                <w:rFonts w:ascii="Arial Narrow" w:hAnsi="Arial Narrow"/>
                <w:b/>
                <w:color w:val="17365D" w:themeColor="text2" w:themeShade="BF"/>
                <w:sz w:val="26"/>
                <w:szCs w:val="26"/>
                <w:lang w:val="ru-RU"/>
              </w:rPr>
            </w:pPr>
          </w:p>
          <w:p w:rsidR="00520969" w:rsidRPr="00C60C43" w:rsidRDefault="00520969" w:rsidP="007E31C9">
            <w:pPr>
              <w:jc w:val="center"/>
              <w:rPr>
                <w:rFonts w:ascii="Arial Narrow" w:hAnsi="Arial Narrow"/>
                <w:b/>
                <w:color w:val="17365D" w:themeColor="text2" w:themeShade="BF"/>
                <w:sz w:val="26"/>
                <w:szCs w:val="26"/>
                <w:lang w:val="ru-RU"/>
              </w:rPr>
            </w:pP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Default="0005104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454491" w:rsidRDefault="00C22B74" w:rsidP="00A0161E">
            <w:pPr>
              <w:ind w:firstLine="318"/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33DC0824" wp14:editId="1B311430">
                  <wp:extent cx="3128597" cy="2324100"/>
                  <wp:effectExtent l="0" t="0" r="0" b="0"/>
                  <wp:docPr id="1" name="Рисунок 1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381" cy="2324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4491" w:rsidRPr="008D7303" w:rsidRDefault="0045449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520969" w:rsidRDefault="00953230" w:rsidP="00B14145">
      <w:pPr>
        <w:rPr>
          <w:b/>
          <w:color w:val="1F497D" w:themeColor="text2"/>
          <w:lang w:val="ru-RU"/>
        </w:rPr>
      </w:pPr>
      <w:r w:rsidRPr="00760A9B">
        <w:rPr>
          <w:color w:val="1F497D" w:themeColor="text2"/>
          <w:sz w:val="25"/>
          <w:szCs w:val="25"/>
          <w:lang w:val="ru-RU"/>
        </w:rPr>
        <w:t xml:space="preserve"> </w:t>
      </w: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477950" w:rsidRPr="00B14145" w:rsidRDefault="00B97028" w:rsidP="00035830">
      <w:pPr>
        <w:ind w:left="142"/>
        <w:jc w:val="center"/>
        <w:rPr>
          <w:b/>
          <w:color w:val="00B050"/>
          <w:lang w:val="ru-RU"/>
        </w:rPr>
      </w:pPr>
      <w:r w:rsidRPr="00B14145">
        <w:rPr>
          <w:b/>
          <w:color w:val="00B050"/>
          <w:lang w:val="ru-RU"/>
        </w:rPr>
        <w:t>Якутск</w:t>
      </w:r>
      <w:r w:rsidR="009B5758" w:rsidRPr="00B14145">
        <w:rPr>
          <w:b/>
          <w:color w:val="00B050"/>
          <w:lang w:val="ru-RU"/>
        </w:rPr>
        <w:t xml:space="preserve">, </w:t>
      </w:r>
      <w:r w:rsidR="00367783" w:rsidRPr="00B14145">
        <w:rPr>
          <w:b/>
          <w:color w:val="00B050"/>
          <w:lang w:val="ru-RU"/>
        </w:rPr>
        <w:t>201</w:t>
      </w:r>
      <w:r w:rsidR="00455422" w:rsidRPr="00B14145">
        <w:rPr>
          <w:b/>
          <w:color w:val="00B050"/>
          <w:lang w:val="ru-RU"/>
        </w:rPr>
        <w:t>8</w:t>
      </w:r>
      <w:r w:rsidRPr="00B14145">
        <w:rPr>
          <w:b/>
          <w:color w:val="00B050"/>
          <w:lang w:val="ru-RU"/>
        </w:rPr>
        <w:t xml:space="preserve"> год</w:t>
      </w:r>
    </w:p>
    <w:sectPr w:rsidR="00477950" w:rsidRPr="00B14145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C6" w:rsidRDefault="005F1BC6">
      <w:r>
        <w:separator/>
      </w:r>
    </w:p>
  </w:endnote>
  <w:endnote w:type="continuationSeparator" w:id="0">
    <w:p w:rsidR="005F1BC6" w:rsidRDefault="005F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C6" w:rsidRDefault="005F1BC6">
      <w:r>
        <w:separator/>
      </w:r>
    </w:p>
  </w:footnote>
  <w:footnote w:type="continuationSeparator" w:id="0">
    <w:p w:rsidR="005F1BC6" w:rsidRDefault="005F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42pt;height:48.75pt" o:bullet="t">
        <v:imagedata r:id="rId1" o:title="advocat"/>
      </v:shape>
    </w:pict>
  </w:numPicBullet>
  <w:numPicBullet w:numPicBulletId="1">
    <w:pict>
      <v:shape id="_x0000_i1054" type="#_x0000_t75" style="width:9.75pt;height:9.75pt" o:bullet="t">
        <v:imagedata r:id="rId2" o:title="BD21298_"/>
      </v:shape>
    </w:pict>
  </w:numPicBullet>
  <w:numPicBullet w:numPicBulletId="2">
    <w:pict>
      <v:shape id="_x0000_i1055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CD85EE1"/>
    <w:multiLevelType w:val="hybridMultilevel"/>
    <w:tmpl w:val="25D4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6254AD"/>
    <w:multiLevelType w:val="hybridMultilevel"/>
    <w:tmpl w:val="76EE060E"/>
    <w:lvl w:ilvl="0" w:tplc="503EC6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6"/>
  </w:num>
  <w:num w:numId="7">
    <w:abstractNumId w:val="41"/>
  </w:num>
  <w:num w:numId="8">
    <w:abstractNumId w:val="37"/>
  </w:num>
  <w:num w:numId="9">
    <w:abstractNumId w:val="21"/>
  </w:num>
  <w:num w:numId="10">
    <w:abstractNumId w:val="35"/>
  </w:num>
  <w:num w:numId="11">
    <w:abstractNumId w:val="11"/>
  </w:num>
  <w:num w:numId="12">
    <w:abstractNumId w:val="43"/>
  </w:num>
  <w:num w:numId="13">
    <w:abstractNumId w:val="47"/>
  </w:num>
  <w:num w:numId="14">
    <w:abstractNumId w:val="2"/>
  </w:num>
  <w:num w:numId="15">
    <w:abstractNumId w:val="4"/>
  </w:num>
  <w:num w:numId="16">
    <w:abstractNumId w:val="20"/>
  </w:num>
  <w:num w:numId="17">
    <w:abstractNumId w:val="39"/>
  </w:num>
  <w:num w:numId="18">
    <w:abstractNumId w:val="48"/>
  </w:num>
  <w:num w:numId="19">
    <w:abstractNumId w:val="31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2"/>
  </w:num>
  <w:num w:numId="26">
    <w:abstractNumId w:val="45"/>
  </w:num>
  <w:num w:numId="27">
    <w:abstractNumId w:val="14"/>
  </w:num>
  <w:num w:numId="28">
    <w:abstractNumId w:val="17"/>
  </w:num>
  <w:num w:numId="29">
    <w:abstractNumId w:val="6"/>
  </w:num>
  <w:num w:numId="30">
    <w:abstractNumId w:val="42"/>
  </w:num>
  <w:num w:numId="31">
    <w:abstractNumId w:val="40"/>
  </w:num>
  <w:num w:numId="32">
    <w:abstractNumId w:val="34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30"/>
  </w:num>
  <w:num w:numId="39">
    <w:abstractNumId w:val="26"/>
  </w:num>
  <w:num w:numId="40">
    <w:abstractNumId w:val="15"/>
  </w:num>
  <w:num w:numId="41">
    <w:abstractNumId w:val="44"/>
  </w:num>
  <w:num w:numId="42">
    <w:abstractNumId w:val="46"/>
  </w:num>
  <w:num w:numId="43">
    <w:abstractNumId w:val="7"/>
  </w:num>
  <w:num w:numId="44">
    <w:abstractNumId w:val="33"/>
  </w:num>
  <w:num w:numId="45">
    <w:abstractNumId w:val="24"/>
  </w:num>
  <w:num w:numId="46">
    <w:abstractNumId w:val="28"/>
  </w:num>
  <w:num w:numId="47">
    <w:abstractNumId w:val="29"/>
  </w:num>
  <w:num w:numId="48">
    <w:abstractNumId w:val="25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6D87"/>
    <w:rsid w:val="00011EDB"/>
    <w:rsid w:val="00023BC1"/>
    <w:rsid w:val="000244A0"/>
    <w:rsid w:val="00035830"/>
    <w:rsid w:val="00051041"/>
    <w:rsid w:val="0005144B"/>
    <w:rsid w:val="00053AD1"/>
    <w:rsid w:val="00056312"/>
    <w:rsid w:val="00062599"/>
    <w:rsid w:val="00062817"/>
    <w:rsid w:val="000635D2"/>
    <w:rsid w:val="00066A73"/>
    <w:rsid w:val="000852A5"/>
    <w:rsid w:val="00087029"/>
    <w:rsid w:val="0008723F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0E7B80"/>
    <w:rsid w:val="000F3106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23D1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A060B"/>
    <w:rsid w:val="001A1590"/>
    <w:rsid w:val="001A273C"/>
    <w:rsid w:val="001A4231"/>
    <w:rsid w:val="001B1150"/>
    <w:rsid w:val="001B6CEF"/>
    <w:rsid w:val="001C0E3A"/>
    <w:rsid w:val="001C6CB1"/>
    <w:rsid w:val="001D33ED"/>
    <w:rsid w:val="001D72A6"/>
    <w:rsid w:val="001E0A56"/>
    <w:rsid w:val="001E18B3"/>
    <w:rsid w:val="001E2070"/>
    <w:rsid w:val="001E3474"/>
    <w:rsid w:val="001E3CA4"/>
    <w:rsid w:val="001E48F0"/>
    <w:rsid w:val="001E55C2"/>
    <w:rsid w:val="001F4BD0"/>
    <w:rsid w:val="001F7808"/>
    <w:rsid w:val="0020048C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5637"/>
    <w:rsid w:val="00226DCE"/>
    <w:rsid w:val="00240FD8"/>
    <w:rsid w:val="00241B56"/>
    <w:rsid w:val="00250934"/>
    <w:rsid w:val="00257505"/>
    <w:rsid w:val="002630F6"/>
    <w:rsid w:val="002710A1"/>
    <w:rsid w:val="00276C68"/>
    <w:rsid w:val="002900B4"/>
    <w:rsid w:val="002922BB"/>
    <w:rsid w:val="00292FD8"/>
    <w:rsid w:val="002A6488"/>
    <w:rsid w:val="002A6668"/>
    <w:rsid w:val="002A7A8F"/>
    <w:rsid w:val="002B7BAD"/>
    <w:rsid w:val="002C2D85"/>
    <w:rsid w:val="002C3642"/>
    <w:rsid w:val="002C5653"/>
    <w:rsid w:val="002E6828"/>
    <w:rsid w:val="002E7C99"/>
    <w:rsid w:val="002F1A64"/>
    <w:rsid w:val="002F1C6B"/>
    <w:rsid w:val="002F4652"/>
    <w:rsid w:val="00301D08"/>
    <w:rsid w:val="0030294D"/>
    <w:rsid w:val="00302D84"/>
    <w:rsid w:val="003050EC"/>
    <w:rsid w:val="00307FEC"/>
    <w:rsid w:val="00320C68"/>
    <w:rsid w:val="0032420C"/>
    <w:rsid w:val="00326A9B"/>
    <w:rsid w:val="00330AEC"/>
    <w:rsid w:val="003318C3"/>
    <w:rsid w:val="00331BCB"/>
    <w:rsid w:val="0033489E"/>
    <w:rsid w:val="00340B9F"/>
    <w:rsid w:val="00342009"/>
    <w:rsid w:val="00351C8F"/>
    <w:rsid w:val="003540F4"/>
    <w:rsid w:val="00361081"/>
    <w:rsid w:val="00366D4D"/>
    <w:rsid w:val="00367783"/>
    <w:rsid w:val="00376702"/>
    <w:rsid w:val="00384B6F"/>
    <w:rsid w:val="00386F7F"/>
    <w:rsid w:val="00391371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383D"/>
    <w:rsid w:val="003D52CE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4491"/>
    <w:rsid w:val="0045480E"/>
    <w:rsid w:val="00455422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D3687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0969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68B"/>
    <w:rsid w:val="00556DD5"/>
    <w:rsid w:val="0055708F"/>
    <w:rsid w:val="005615C3"/>
    <w:rsid w:val="00574F26"/>
    <w:rsid w:val="005804A0"/>
    <w:rsid w:val="00591CA0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E38C1"/>
    <w:rsid w:val="005E5E3A"/>
    <w:rsid w:val="005E6EA9"/>
    <w:rsid w:val="005E7EF9"/>
    <w:rsid w:val="005F10AD"/>
    <w:rsid w:val="005F1BC6"/>
    <w:rsid w:val="005F4E60"/>
    <w:rsid w:val="005F5C39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50447"/>
    <w:rsid w:val="006509D4"/>
    <w:rsid w:val="006621C7"/>
    <w:rsid w:val="00672F68"/>
    <w:rsid w:val="00680E00"/>
    <w:rsid w:val="00692AE2"/>
    <w:rsid w:val="006A64D6"/>
    <w:rsid w:val="006B0E04"/>
    <w:rsid w:val="006B529C"/>
    <w:rsid w:val="006B758E"/>
    <w:rsid w:val="006C2546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06942"/>
    <w:rsid w:val="007112B8"/>
    <w:rsid w:val="007115CA"/>
    <w:rsid w:val="007136FC"/>
    <w:rsid w:val="00714347"/>
    <w:rsid w:val="00714663"/>
    <w:rsid w:val="007207BE"/>
    <w:rsid w:val="00733A52"/>
    <w:rsid w:val="00741B29"/>
    <w:rsid w:val="00750E5C"/>
    <w:rsid w:val="007517A5"/>
    <w:rsid w:val="00760A9B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169B"/>
    <w:rsid w:val="0084502B"/>
    <w:rsid w:val="00850E47"/>
    <w:rsid w:val="0085185F"/>
    <w:rsid w:val="00874A26"/>
    <w:rsid w:val="008828CD"/>
    <w:rsid w:val="00885EE3"/>
    <w:rsid w:val="008874D4"/>
    <w:rsid w:val="0089018A"/>
    <w:rsid w:val="008924AB"/>
    <w:rsid w:val="00893EF4"/>
    <w:rsid w:val="0089695F"/>
    <w:rsid w:val="008A1FF3"/>
    <w:rsid w:val="008A21E9"/>
    <w:rsid w:val="008B43AF"/>
    <w:rsid w:val="008B5BAA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468F1"/>
    <w:rsid w:val="00951F8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0161E"/>
    <w:rsid w:val="00A12AEA"/>
    <w:rsid w:val="00A135A1"/>
    <w:rsid w:val="00A13D55"/>
    <w:rsid w:val="00A17352"/>
    <w:rsid w:val="00A25BC7"/>
    <w:rsid w:val="00A27950"/>
    <w:rsid w:val="00A34CEE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14B"/>
    <w:rsid w:val="00AD4624"/>
    <w:rsid w:val="00AD6255"/>
    <w:rsid w:val="00AE0A79"/>
    <w:rsid w:val="00AE1031"/>
    <w:rsid w:val="00AE30D3"/>
    <w:rsid w:val="00AE553B"/>
    <w:rsid w:val="00AE5814"/>
    <w:rsid w:val="00AF15C0"/>
    <w:rsid w:val="00B00E8F"/>
    <w:rsid w:val="00B04053"/>
    <w:rsid w:val="00B14145"/>
    <w:rsid w:val="00B1618D"/>
    <w:rsid w:val="00B21CBF"/>
    <w:rsid w:val="00B221AF"/>
    <w:rsid w:val="00B30769"/>
    <w:rsid w:val="00B35E06"/>
    <w:rsid w:val="00B409E6"/>
    <w:rsid w:val="00B4623B"/>
    <w:rsid w:val="00B478DA"/>
    <w:rsid w:val="00B47BEA"/>
    <w:rsid w:val="00B50901"/>
    <w:rsid w:val="00B51713"/>
    <w:rsid w:val="00B55505"/>
    <w:rsid w:val="00B57BCB"/>
    <w:rsid w:val="00B64903"/>
    <w:rsid w:val="00B66573"/>
    <w:rsid w:val="00B77558"/>
    <w:rsid w:val="00B97028"/>
    <w:rsid w:val="00BA2BBC"/>
    <w:rsid w:val="00BA35CB"/>
    <w:rsid w:val="00BA4941"/>
    <w:rsid w:val="00BA63D9"/>
    <w:rsid w:val="00BB4E2D"/>
    <w:rsid w:val="00BC4502"/>
    <w:rsid w:val="00BC4CD6"/>
    <w:rsid w:val="00BC5A7C"/>
    <w:rsid w:val="00BC7703"/>
    <w:rsid w:val="00BD3BE8"/>
    <w:rsid w:val="00BD492D"/>
    <w:rsid w:val="00BD654E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4481"/>
    <w:rsid w:val="00C05317"/>
    <w:rsid w:val="00C10A30"/>
    <w:rsid w:val="00C128B1"/>
    <w:rsid w:val="00C20899"/>
    <w:rsid w:val="00C21BDD"/>
    <w:rsid w:val="00C22B74"/>
    <w:rsid w:val="00C3070D"/>
    <w:rsid w:val="00C32158"/>
    <w:rsid w:val="00C322D3"/>
    <w:rsid w:val="00C36E10"/>
    <w:rsid w:val="00C402AE"/>
    <w:rsid w:val="00C44F24"/>
    <w:rsid w:val="00C4584A"/>
    <w:rsid w:val="00C46CD2"/>
    <w:rsid w:val="00C509E3"/>
    <w:rsid w:val="00C50DA9"/>
    <w:rsid w:val="00C51459"/>
    <w:rsid w:val="00C51908"/>
    <w:rsid w:val="00C529AF"/>
    <w:rsid w:val="00C55722"/>
    <w:rsid w:val="00C56728"/>
    <w:rsid w:val="00C57744"/>
    <w:rsid w:val="00C60C43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7648"/>
    <w:rsid w:val="00CB4B09"/>
    <w:rsid w:val="00CB67D7"/>
    <w:rsid w:val="00CC3DD9"/>
    <w:rsid w:val="00CC7672"/>
    <w:rsid w:val="00CD20C6"/>
    <w:rsid w:val="00CE063B"/>
    <w:rsid w:val="00CE1F54"/>
    <w:rsid w:val="00CF0C8B"/>
    <w:rsid w:val="00CF1E6D"/>
    <w:rsid w:val="00D056C6"/>
    <w:rsid w:val="00D06893"/>
    <w:rsid w:val="00D07C47"/>
    <w:rsid w:val="00D20C8C"/>
    <w:rsid w:val="00D26041"/>
    <w:rsid w:val="00D34AD3"/>
    <w:rsid w:val="00D375CC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82B98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C7D31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935E9"/>
    <w:rsid w:val="00E937B9"/>
    <w:rsid w:val="00E942FD"/>
    <w:rsid w:val="00EA7FF3"/>
    <w:rsid w:val="00EB0172"/>
    <w:rsid w:val="00EB4233"/>
    <w:rsid w:val="00EB6D2A"/>
    <w:rsid w:val="00EC1932"/>
    <w:rsid w:val="00EC2BB5"/>
    <w:rsid w:val="00EC2FF0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26B"/>
    <w:rsid w:val="00F113BC"/>
    <w:rsid w:val="00F12918"/>
    <w:rsid w:val="00F17436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B39F9"/>
    <w:rsid w:val="00FB5E73"/>
    <w:rsid w:val="00FB7EE7"/>
    <w:rsid w:val="00FC04B6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ksakh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4E654F43C84B9602FA76CD5FD1A6CB03C289DA368552EB4B66EE2C0D71218670337D9DEADA7DA1653F4F74BF6D17AF8D1172B1DC83BD809D04CEIEj1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B0AAB507ADC23937AD12CF3FB737C8841427DCD07086573B0481038BA25ECFBF55893DC7047D3B8BADD0EC74362EE1C7411CAAFB146B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hyperlink" Target="mailto:resp_prok@sakha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B9E3-A951-4FD1-A636-F158D3FB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11143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4</cp:revision>
  <cp:lastPrinted>2018-12-13T00:08:00Z</cp:lastPrinted>
  <dcterms:created xsi:type="dcterms:W3CDTF">2018-12-13T09:44:00Z</dcterms:created>
  <dcterms:modified xsi:type="dcterms:W3CDTF">2018-12-13T17:13:00Z</dcterms:modified>
</cp:coreProperties>
</file>