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58" w:rsidRDefault="00842152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r>
        <w:rPr>
          <w:rFonts w:ascii="Arial Narrow" w:hAnsi="Arial Narrow"/>
          <w:bCs/>
          <w:iCs/>
          <w:noProof/>
          <w:sz w:val="20"/>
          <w:szCs w:val="20"/>
          <w:lang w:val="ru-RU" w:eastAsia="ru-RU" w:bidi="ar-SA"/>
        </w:rPr>
        <w:drawing>
          <wp:inline distT="0" distB="0" distL="0" distR="0" wp14:anchorId="5B278F10" wp14:editId="17A82CF6">
            <wp:extent cx="571500" cy="571500"/>
            <wp:effectExtent l="0" t="0" r="0" b="0"/>
            <wp:docPr id="7" name="Рисунок 7" descr="C:\Users\Кулаковская\Desktop\Documents\Картинки\Инвалид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улаковская\Desktop\Documents\Картинки\Инвалиды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3" cy="57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58" w:rsidRDefault="009B5758" w:rsidP="00C529AF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20"/>
          <w:szCs w:val="20"/>
          <w:lang w:val="ru-RU"/>
        </w:rPr>
      </w:pPr>
    </w:p>
    <w:p w:rsidR="000C1CE2" w:rsidRPr="000C1CE2" w:rsidRDefault="000C1CE2" w:rsidP="003A2C52">
      <w:pPr>
        <w:ind w:firstLine="426"/>
        <w:jc w:val="both"/>
        <w:rPr>
          <w:sz w:val="28"/>
          <w:szCs w:val="28"/>
          <w:lang w:val="ru-RU"/>
        </w:rPr>
      </w:pPr>
      <w:r w:rsidRPr="000C1CE2">
        <w:rPr>
          <w:b/>
          <w:sz w:val="28"/>
          <w:szCs w:val="28"/>
          <w:lang w:val="ru-RU"/>
        </w:rPr>
        <w:t>Атмосферный воздух</w:t>
      </w:r>
      <w:r w:rsidRPr="000C1CE2">
        <w:rPr>
          <w:sz w:val="28"/>
          <w:szCs w:val="28"/>
          <w:lang w:val="ru-RU"/>
        </w:rPr>
        <w:t xml:space="preserve"> является жизненно важным компонентом окружающей среды, представляющим собой естественную смесь газов атмосферы, находящуюся за пределами жилых, производственных и иных помещений </w:t>
      </w:r>
    </w:p>
    <w:p w:rsidR="000C1CE2" w:rsidRPr="000C1CE2" w:rsidRDefault="000C1CE2" w:rsidP="003A2C52">
      <w:pPr>
        <w:ind w:firstLine="426"/>
        <w:jc w:val="both"/>
        <w:rPr>
          <w:sz w:val="28"/>
          <w:szCs w:val="28"/>
          <w:lang w:val="ru-RU"/>
        </w:rPr>
      </w:pPr>
    </w:p>
    <w:p w:rsidR="000C1CE2" w:rsidRPr="000C1CE2" w:rsidRDefault="000C1CE2" w:rsidP="003A2C52">
      <w:pPr>
        <w:ind w:firstLine="426"/>
        <w:jc w:val="both"/>
        <w:rPr>
          <w:sz w:val="28"/>
          <w:szCs w:val="28"/>
          <w:lang w:val="ru-RU"/>
        </w:rPr>
      </w:pPr>
      <w:r w:rsidRPr="000C1CE2">
        <w:rPr>
          <w:b/>
          <w:sz w:val="28"/>
          <w:szCs w:val="28"/>
          <w:lang w:val="ru-RU"/>
        </w:rPr>
        <w:t>Загрязняющее вещество</w:t>
      </w:r>
      <w:r w:rsidRPr="000C1CE2">
        <w:rPr>
          <w:sz w:val="28"/>
          <w:szCs w:val="28"/>
          <w:lang w:val="ru-RU"/>
        </w:rPr>
        <w:t xml:space="preserve"> – химическое вещество или смесь веществ, в том числе радиоактивных, и микроорганизмов, которые поступают в атмосферный воздух, содержатся и (или) образуются в нем и которые в количестве и (или) концентрациях, превышающих установленные нормативы, оказывают негативное воздействие на окружающую среду, жизнь, здоровье человека </w:t>
      </w:r>
    </w:p>
    <w:p w:rsidR="000C1CE2" w:rsidRPr="000C1CE2" w:rsidRDefault="000C1CE2" w:rsidP="003A2C52">
      <w:pPr>
        <w:ind w:firstLine="426"/>
        <w:jc w:val="both"/>
        <w:rPr>
          <w:sz w:val="28"/>
          <w:szCs w:val="28"/>
          <w:lang w:val="ru-RU"/>
        </w:rPr>
      </w:pPr>
    </w:p>
    <w:p w:rsidR="000C1CE2" w:rsidRDefault="000C1CE2" w:rsidP="000C1CE2">
      <w:pPr>
        <w:ind w:firstLine="426"/>
        <w:jc w:val="both"/>
        <w:rPr>
          <w:sz w:val="28"/>
          <w:szCs w:val="28"/>
          <w:lang w:val="ru-RU"/>
        </w:rPr>
      </w:pPr>
      <w:r w:rsidRPr="000C1CE2">
        <w:rPr>
          <w:b/>
          <w:sz w:val="28"/>
          <w:szCs w:val="28"/>
          <w:lang w:val="ru-RU"/>
        </w:rPr>
        <w:t>Загрязнение атмосферного воздуха</w:t>
      </w:r>
      <w:r w:rsidRPr="000C1CE2">
        <w:rPr>
          <w:sz w:val="28"/>
          <w:szCs w:val="28"/>
          <w:lang w:val="ru-RU"/>
        </w:rPr>
        <w:t xml:space="preserve"> </w:t>
      </w:r>
      <w:r w:rsidR="00B97D30">
        <w:rPr>
          <w:sz w:val="28"/>
          <w:szCs w:val="28"/>
          <w:lang w:val="ru-RU"/>
        </w:rPr>
        <w:t xml:space="preserve">– </w:t>
      </w:r>
      <w:r w:rsidRPr="000C1CE2">
        <w:rPr>
          <w:sz w:val="28"/>
          <w:szCs w:val="28"/>
          <w:lang w:val="ru-RU"/>
        </w:rPr>
        <w:t>это</w:t>
      </w:r>
      <w:r w:rsidR="00B97D30">
        <w:rPr>
          <w:sz w:val="28"/>
          <w:szCs w:val="28"/>
          <w:lang w:val="ru-RU"/>
        </w:rPr>
        <w:t xml:space="preserve"> </w:t>
      </w:r>
      <w:r w:rsidRPr="000C1CE2">
        <w:rPr>
          <w:sz w:val="28"/>
          <w:szCs w:val="28"/>
          <w:lang w:val="ru-RU"/>
        </w:rPr>
        <w:t xml:space="preserve">поступление в атмосферный воздух или образование в нем загрязняющих веществ в концентрациях, превышающих установленные государством гигиенические и экологические нормативы качества. </w:t>
      </w:r>
    </w:p>
    <w:p w:rsidR="000C1CE2" w:rsidRDefault="000C1CE2" w:rsidP="000C1CE2">
      <w:pPr>
        <w:ind w:firstLine="426"/>
        <w:jc w:val="both"/>
        <w:rPr>
          <w:sz w:val="28"/>
          <w:szCs w:val="28"/>
          <w:lang w:val="ru-RU"/>
        </w:rPr>
      </w:pPr>
    </w:p>
    <w:p w:rsidR="000C1CE2" w:rsidRDefault="000C1CE2" w:rsidP="000C1CE2">
      <w:pPr>
        <w:ind w:firstLine="426"/>
        <w:jc w:val="both"/>
        <w:rPr>
          <w:sz w:val="28"/>
          <w:szCs w:val="28"/>
          <w:lang w:val="ru-RU"/>
        </w:rPr>
      </w:pPr>
    </w:p>
    <w:p w:rsidR="000C1CE2" w:rsidRDefault="000C1CE2" w:rsidP="000C1CE2">
      <w:pPr>
        <w:ind w:firstLine="426"/>
        <w:jc w:val="both"/>
        <w:rPr>
          <w:sz w:val="28"/>
          <w:szCs w:val="28"/>
          <w:lang w:val="ru-RU"/>
        </w:rPr>
      </w:pPr>
    </w:p>
    <w:p w:rsidR="000C1CE2" w:rsidRDefault="000C1CE2" w:rsidP="000C1CE2">
      <w:pPr>
        <w:ind w:firstLine="426"/>
        <w:jc w:val="both"/>
        <w:rPr>
          <w:sz w:val="28"/>
          <w:szCs w:val="28"/>
          <w:lang w:val="ru-RU"/>
        </w:rPr>
      </w:pPr>
    </w:p>
    <w:p w:rsidR="00FA74B5" w:rsidRDefault="000C1CE2" w:rsidP="000C1CE2">
      <w:pPr>
        <w:ind w:firstLine="426"/>
        <w:jc w:val="both"/>
        <w:rPr>
          <w:sz w:val="28"/>
          <w:szCs w:val="28"/>
          <w:lang w:val="ru-RU"/>
        </w:rPr>
      </w:pPr>
      <w:r w:rsidRPr="000C1CE2">
        <w:rPr>
          <w:sz w:val="28"/>
          <w:szCs w:val="28"/>
          <w:lang w:val="ru-RU"/>
        </w:rPr>
        <w:t>Согласно Федеральному закону от 11.06.1999 № 96-ФЗ «Об охране атмосферного воздуха» запрещается выброс в атмосферный воздух веществ, степень опасности которых для жизни и здоровья человека и для окружающей среды не установлена</w:t>
      </w:r>
      <w:r>
        <w:rPr>
          <w:sz w:val="28"/>
          <w:szCs w:val="28"/>
          <w:lang w:val="ru-RU"/>
        </w:rPr>
        <w:t>.</w:t>
      </w:r>
    </w:p>
    <w:p w:rsidR="000C1CE2" w:rsidRDefault="000C1CE2" w:rsidP="000C1CE2">
      <w:pPr>
        <w:ind w:firstLine="426"/>
        <w:jc w:val="both"/>
        <w:rPr>
          <w:sz w:val="28"/>
          <w:szCs w:val="28"/>
          <w:lang w:val="ru-RU"/>
        </w:rPr>
      </w:pPr>
    </w:p>
    <w:p w:rsidR="000C1CE2" w:rsidRPr="000C1CE2" w:rsidRDefault="00B97D30" w:rsidP="000C1CE2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138430</wp:posOffset>
            </wp:positionV>
            <wp:extent cx="3019425" cy="21336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4B5" w:rsidRPr="000C1CE2" w:rsidRDefault="00FA74B5" w:rsidP="003A2C52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74B5" w:rsidRPr="000C1CE2" w:rsidRDefault="00FA74B5" w:rsidP="003A2C52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127F" w:rsidRPr="00FA74B5" w:rsidRDefault="001D127F" w:rsidP="003A2C52">
      <w:pPr>
        <w:ind w:firstLine="426"/>
        <w:jc w:val="both"/>
        <w:rPr>
          <w:rFonts w:ascii="Times New Roman" w:hAnsi="Times New Roman"/>
          <w:lang w:val="ru-RU"/>
        </w:rPr>
      </w:pPr>
    </w:p>
    <w:p w:rsidR="001D127F" w:rsidRDefault="001D127F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842152" w:rsidRDefault="0084215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0C1CE2" w:rsidRDefault="000C1CE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0C1CE2" w:rsidRDefault="000C1CE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0C1CE2" w:rsidRDefault="000C1CE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0C1CE2" w:rsidRPr="000C1CE2" w:rsidRDefault="000C1CE2" w:rsidP="000C1CE2">
      <w:pPr>
        <w:ind w:firstLine="426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0C1CE2">
        <w:rPr>
          <w:b/>
          <w:sz w:val="28"/>
          <w:szCs w:val="28"/>
          <w:lang w:val="ru-RU"/>
        </w:rPr>
        <w:t>Юридические лица</w:t>
      </w:r>
      <w:r w:rsidRPr="000C1CE2">
        <w:rPr>
          <w:sz w:val="28"/>
          <w:szCs w:val="28"/>
          <w:lang w:val="ru-RU"/>
        </w:rPr>
        <w:t xml:space="preserve"> при производстве и эксплуатации транспортных и иных передвижных средств и установок и </w:t>
      </w:r>
      <w:r w:rsidRPr="000C1CE2">
        <w:rPr>
          <w:b/>
          <w:sz w:val="28"/>
          <w:szCs w:val="28"/>
          <w:lang w:val="ru-RU"/>
        </w:rPr>
        <w:t>граждане</w:t>
      </w:r>
      <w:r w:rsidRPr="000C1CE2">
        <w:rPr>
          <w:sz w:val="28"/>
          <w:szCs w:val="28"/>
          <w:lang w:val="ru-RU"/>
        </w:rPr>
        <w:t xml:space="preserve">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выбросов.</w:t>
      </w:r>
    </w:p>
    <w:p w:rsidR="000C1CE2" w:rsidRDefault="000C1CE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0C1CE2" w:rsidRDefault="000C1CE2" w:rsidP="003A2C52">
      <w:pPr>
        <w:ind w:firstLine="426"/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11430</wp:posOffset>
            </wp:positionV>
            <wp:extent cx="3086100" cy="22955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CE2" w:rsidRDefault="000C1CE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0C1CE2" w:rsidRDefault="000C1CE2" w:rsidP="003A2C52">
      <w:pPr>
        <w:ind w:firstLine="426"/>
        <w:jc w:val="both"/>
        <w:rPr>
          <w:rFonts w:asciiTheme="majorHAnsi" w:hAnsiTheme="majorHAnsi"/>
          <w:b/>
          <w:lang w:val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Default="000C1CE2" w:rsidP="003A2C5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</w:p>
    <w:p w:rsidR="000C1CE2" w:rsidRPr="000C1CE2" w:rsidRDefault="000C1CE2" w:rsidP="000C1CE2">
      <w:pPr>
        <w:shd w:val="clear" w:color="auto" w:fill="FFFFFF" w:themeFill="background1"/>
        <w:jc w:val="both"/>
        <w:textAlignment w:val="baseline"/>
        <w:rPr>
          <w:rFonts w:asciiTheme="majorHAnsi" w:hAnsiTheme="majorHAnsi"/>
          <w:b/>
          <w:bCs/>
          <w:i/>
          <w:color w:val="943634" w:themeColor="accent2" w:themeShade="BF"/>
          <w:sz w:val="28"/>
          <w:szCs w:val="28"/>
          <w:bdr w:val="none" w:sz="0" w:space="0" w:color="auto" w:frame="1"/>
          <w:lang w:val="ru-RU" w:eastAsia="ru-RU"/>
        </w:rPr>
      </w:pPr>
      <w:r w:rsidRPr="000C1CE2">
        <w:rPr>
          <w:sz w:val="28"/>
          <w:szCs w:val="28"/>
          <w:lang w:val="ru-RU"/>
        </w:rPr>
        <w:t>Лица, виновные в нарушении законодательства Российской Федерации в области охраны атмосферного воздуха, несут уголовную, административную и иную ответственность в соответствии с федеральным законодательством.</w:t>
      </w:r>
    </w:p>
    <w:p w:rsidR="000C1CE2" w:rsidRDefault="000C1CE2" w:rsidP="000C1CE2">
      <w:pPr>
        <w:ind w:firstLine="426"/>
        <w:jc w:val="both"/>
        <w:rPr>
          <w:sz w:val="28"/>
          <w:szCs w:val="28"/>
          <w:lang w:val="ru-RU"/>
        </w:rPr>
      </w:pPr>
    </w:p>
    <w:p w:rsidR="000C1CE2" w:rsidRDefault="000C1CE2" w:rsidP="000C1CE2">
      <w:pPr>
        <w:ind w:firstLine="426"/>
        <w:jc w:val="both"/>
        <w:rPr>
          <w:sz w:val="28"/>
          <w:szCs w:val="28"/>
          <w:lang w:val="ru-RU"/>
        </w:rPr>
      </w:pPr>
      <w:r w:rsidRPr="000C1CE2">
        <w:rPr>
          <w:b/>
          <w:sz w:val="28"/>
          <w:szCs w:val="28"/>
          <w:lang w:val="ru-RU"/>
        </w:rPr>
        <w:t>Статьей 8.21 Кодекса РФ об административных правонарушениях</w:t>
      </w:r>
      <w:r w:rsidRPr="000C1CE2">
        <w:rPr>
          <w:sz w:val="28"/>
          <w:szCs w:val="28"/>
          <w:lang w:val="ru-RU"/>
        </w:rPr>
        <w:t xml:space="preserve"> (Нарушение правил охраны атмосферного воздуха) предусмотрено наказание в виде штрафа: на граждан в размере от 1 до 2 тыс. рублей, на должностных лиц – от 1 до 2 тыс. рублей, на юридических лиц – от 10 тыс. рублей до 1 млн. рублей или административное приостановление деятельности на срок до девяноста суток. </w:t>
      </w:r>
    </w:p>
    <w:p w:rsidR="0094691D" w:rsidRPr="000C1CE2" w:rsidRDefault="000C1CE2" w:rsidP="000C1CE2">
      <w:pPr>
        <w:ind w:firstLine="426"/>
        <w:jc w:val="both"/>
        <w:rPr>
          <w:rFonts w:asciiTheme="majorHAnsi" w:hAnsiTheme="majorHAnsi"/>
          <w:b/>
          <w:color w:val="943634" w:themeColor="accent2" w:themeShade="BF"/>
          <w:sz w:val="28"/>
          <w:szCs w:val="28"/>
          <w:lang w:val="ru-RU"/>
        </w:rPr>
      </w:pPr>
      <w:r w:rsidRPr="000C1CE2">
        <w:rPr>
          <w:b/>
          <w:sz w:val="28"/>
          <w:szCs w:val="28"/>
          <w:lang w:val="ru-RU"/>
        </w:rPr>
        <w:lastRenderedPageBreak/>
        <w:t>Статьей 251 Уголовного кодекса РФ</w:t>
      </w:r>
      <w:r w:rsidRPr="000C1CE2">
        <w:rPr>
          <w:sz w:val="28"/>
          <w:szCs w:val="28"/>
          <w:lang w:val="ru-RU"/>
        </w:rPr>
        <w:t xml:space="preserve"> нарушение правил выброса в атмосферу загрязняющих веществ или нарушение эксплуатации установок, сооружений и иных объектов, если эти деятельности повлекли или иное изменение природных свойств воздуха установлена максимальная ответственность в виде арестом до трех месяцев, а в случае смерти человека в виде лишения свобод на срок до пяти лет.</w:t>
      </w:r>
    </w:p>
    <w:p w:rsidR="000C1CE2" w:rsidRDefault="000C1CE2" w:rsidP="003A2C52">
      <w:pPr>
        <w:ind w:firstLine="426"/>
        <w:jc w:val="center"/>
        <w:rPr>
          <w:rFonts w:asciiTheme="majorHAnsi" w:hAnsiTheme="majorHAnsi"/>
          <w:b/>
          <w:i/>
          <w:color w:val="943634" w:themeColor="accent2" w:themeShade="BF"/>
          <w:lang w:val="ru-RU"/>
        </w:rPr>
      </w:pPr>
    </w:p>
    <w:p w:rsidR="00AE3B54" w:rsidRPr="00AE3B54" w:rsidRDefault="00AE3B54" w:rsidP="00AE3B54">
      <w:pPr>
        <w:ind w:firstLine="540"/>
        <w:jc w:val="both"/>
        <w:rPr>
          <w:rFonts w:asciiTheme="minorHAnsi" w:hAnsiTheme="minorHAnsi" w:cstheme="minorHAnsi"/>
          <w:sz w:val="28"/>
          <w:szCs w:val="28"/>
          <w:lang w:val="ru-RU" w:eastAsia="ru-RU" w:bidi="ar-SA"/>
        </w:rPr>
      </w:pPr>
      <w:r w:rsidRPr="00AE3B54">
        <w:rPr>
          <w:rFonts w:asciiTheme="minorHAnsi" w:hAnsiTheme="minorHAnsi" w:cstheme="minorHAnsi"/>
          <w:sz w:val="28"/>
          <w:szCs w:val="28"/>
          <w:lang w:val="ru-RU" w:eastAsia="ru-RU" w:bidi="ar-SA"/>
        </w:rPr>
        <w:t xml:space="preserve">В целях наблюдения за загрязнением атмосферного воздуха, комплексной оценки и прогноза его состояния, а также обеспечения органов государственной власти, органов местного самоуправления, организаций и населения текущей и экстренной информацией о загрязнении атмосферного воздуха Правительство Российской Федерации, органы государственной власти субъектов Российской Федерации, </w:t>
      </w:r>
      <w:r w:rsidRPr="00AE3B54">
        <w:rPr>
          <w:rFonts w:asciiTheme="minorHAnsi" w:hAnsiTheme="minorHAnsi" w:cstheme="minorHAnsi"/>
          <w:b/>
          <w:sz w:val="28"/>
          <w:szCs w:val="28"/>
          <w:lang w:val="ru-RU" w:eastAsia="ru-RU" w:bidi="ar-SA"/>
        </w:rPr>
        <w:t>органы местного самоуправления организуют государственный мониторинг атмосферного воздуха и в пределах своей компетенции</w:t>
      </w:r>
      <w:r w:rsidRPr="00AE3B54">
        <w:rPr>
          <w:rFonts w:asciiTheme="minorHAnsi" w:hAnsiTheme="minorHAnsi" w:cstheme="minorHAnsi"/>
          <w:sz w:val="28"/>
          <w:szCs w:val="28"/>
          <w:lang w:val="ru-RU" w:eastAsia="ru-RU" w:bidi="ar-SA"/>
        </w:rPr>
        <w:t xml:space="preserve"> обеспечивают его осуществление на соответствующих территориях Российской Федерации, субъектов Российской Федерации и муниципальных образований. </w:t>
      </w:r>
    </w:p>
    <w:p w:rsidR="001F4BD0" w:rsidRPr="009B5758" w:rsidRDefault="00AE3B54" w:rsidP="00AE3B54">
      <w:pPr>
        <w:ind w:firstLine="540"/>
        <w:jc w:val="both"/>
        <w:rPr>
          <w:rFonts w:asciiTheme="minorHAnsi" w:hAnsiTheme="minorHAnsi" w:cstheme="minorHAnsi"/>
          <w:b/>
          <w:color w:val="FF3300"/>
          <w:sz w:val="18"/>
          <w:szCs w:val="18"/>
          <w:lang w:val="ru-RU"/>
        </w:rPr>
      </w:pPr>
      <w:r w:rsidRPr="00AE3B54">
        <w:rPr>
          <w:rFonts w:asciiTheme="minorHAnsi" w:hAnsiTheme="minorHAnsi" w:cstheme="minorHAnsi"/>
          <w:b/>
          <w:sz w:val="28"/>
          <w:szCs w:val="28"/>
          <w:lang w:val="ru-RU" w:eastAsia="ru-RU" w:bidi="ar-SA"/>
        </w:rPr>
        <w:t>Государственный мониторинг атмосферного воздуха</w:t>
      </w:r>
      <w:r w:rsidRPr="00AE3B54">
        <w:rPr>
          <w:rFonts w:asciiTheme="minorHAnsi" w:hAnsiTheme="minorHAnsi" w:cstheme="minorHAnsi"/>
          <w:sz w:val="28"/>
          <w:szCs w:val="28"/>
          <w:lang w:val="ru-RU" w:eastAsia="ru-RU" w:bidi="ar-SA"/>
        </w:rPr>
        <w:t xml:space="preserve"> является составной частью государственного экологического мониторинга (государственного мониторинга окружающей среды) и осуществляется федеральными органами исполнительной власти в области охраны окружающей среды, другими органами исполнительной власти в пределах своей компетенции в порядке, установленном уполномоченным Правительством Российской Федерации федеральным органом исполнительной власти. </w:t>
      </w:r>
    </w:p>
    <w:p w:rsidR="00EF1A2F" w:rsidRDefault="00395F05" w:rsidP="001557CF">
      <w:pPr>
        <w:rPr>
          <w:rFonts w:ascii="Arial Narrow" w:hAnsi="Arial Narrow"/>
          <w:b/>
          <w:color w:val="0066FF"/>
          <w:u w:val="single"/>
          <w:lang w:val="ru-RU"/>
        </w:rPr>
      </w:pPr>
      <w:r>
        <w:rPr>
          <w:rFonts w:ascii="Arial Narrow" w:hAnsi="Arial Narrow"/>
          <w:b/>
          <w:color w:val="0066FF"/>
          <w:u w:val="single"/>
          <w:lang w:val="ru-RU"/>
        </w:rPr>
        <w:t xml:space="preserve">            </w:t>
      </w:r>
    </w:p>
    <w:p w:rsidR="00F653F6" w:rsidRDefault="00AE3B54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  <w:r>
        <w:rPr>
          <w:rFonts w:ascii="Arial Narrow" w:hAnsi="Arial Narrow"/>
          <w:b/>
          <w:noProof/>
          <w:color w:val="0066FF"/>
          <w:u w:val="single"/>
          <w:lang w:val="ru-RU" w:eastAsia="ru-RU" w:bidi="ar-SA"/>
        </w:rPr>
        <w:drawing>
          <wp:inline distT="0" distB="0" distL="0" distR="0">
            <wp:extent cx="3067050" cy="2152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52" w:rsidRDefault="00842152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</w:p>
    <w:p w:rsidR="00842152" w:rsidRDefault="00842152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</w:p>
    <w:p w:rsidR="00842152" w:rsidRDefault="00842152" w:rsidP="00395F05">
      <w:pPr>
        <w:jc w:val="center"/>
        <w:rPr>
          <w:rFonts w:ascii="Arial Narrow" w:hAnsi="Arial Narrow"/>
          <w:b/>
          <w:color w:val="0066FF"/>
          <w:u w:val="single"/>
          <w:lang w:val="ru-RU"/>
        </w:rPr>
      </w:pPr>
    </w:p>
    <w:p w:rsidR="00716C2E" w:rsidRDefault="00716C2E" w:rsidP="00716C2E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943634" w:themeColor="accent2" w:themeShade="BF"/>
          <w:sz w:val="18"/>
          <w:szCs w:val="18"/>
        </w:rPr>
      </w:pPr>
    </w:p>
    <w:p w:rsidR="003A2C52" w:rsidRPr="00842152" w:rsidRDefault="00842152" w:rsidP="003A2C52">
      <w:pPr>
        <w:pStyle w:val="unknownstyle1"/>
        <w:widowControl w:val="0"/>
        <w:spacing w:line="240" w:lineRule="auto"/>
        <w:rPr>
          <w:rFonts w:cs="Calibri"/>
          <w:b/>
          <w:bCs/>
          <w:color w:val="244061"/>
          <w:sz w:val="20"/>
          <w:szCs w:val="20"/>
        </w:rPr>
      </w:pPr>
      <w:r w:rsidRPr="00842152">
        <w:rPr>
          <w:rFonts w:cs="Calibri"/>
          <w:b/>
          <w:bCs/>
          <w:color w:val="244061"/>
          <w:sz w:val="20"/>
          <w:szCs w:val="20"/>
        </w:rPr>
        <w:t>Якутская природоохранная п</w:t>
      </w:r>
      <w:r w:rsidR="003A2C52" w:rsidRPr="00842152">
        <w:rPr>
          <w:rFonts w:cs="Calibri"/>
          <w:b/>
          <w:bCs/>
          <w:color w:val="244061"/>
          <w:sz w:val="20"/>
          <w:szCs w:val="20"/>
        </w:rPr>
        <w:t>рокуратура Республики Саха (Якутия)</w:t>
      </w:r>
    </w:p>
    <w:p w:rsidR="003A2C52" w:rsidRPr="00842152" w:rsidRDefault="003A2C52" w:rsidP="003A2C52">
      <w:pPr>
        <w:pStyle w:val="unknownstyle1"/>
        <w:widowControl w:val="0"/>
        <w:spacing w:line="240" w:lineRule="auto"/>
        <w:rPr>
          <w:rFonts w:cs="Calibri"/>
          <w:b/>
          <w:bCs/>
          <w:color w:val="244061"/>
          <w:sz w:val="20"/>
          <w:szCs w:val="20"/>
        </w:rPr>
      </w:pPr>
      <w:r w:rsidRPr="00842152">
        <w:rPr>
          <w:rFonts w:cs="Calibri"/>
          <w:b/>
          <w:bCs/>
          <w:color w:val="244061"/>
          <w:sz w:val="20"/>
          <w:szCs w:val="20"/>
        </w:rPr>
        <w:t xml:space="preserve">677000, г. Якутск, </w:t>
      </w:r>
      <w:r w:rsidR="00842152" w:rsidRPr="00842152">
        <w:rPr>
          <w:rFonts w:cs="Calibri"/>
          <w:b/>
          <w:bCs/>
          <w:color w:val="244061"/>
          <w:sz w:val="20"/>
          <w:szCs w:val="20"/>
        </w:rPr>
        <w:t>ул</w:t>
      </w:r>
      <w:r w:rsidRPr="00842152">
        <w:rPr>
          <w:rFonts w:cs="Calibri"/>
          <w:b/>
          <w:bCs/>
          <w:color w:val="244061"/>
          <w:sz w:val="20"/>
          <w:szCs w:val="20"/>
        </w:rPr>
        <w:t xml:space="preserve">. </w:t>
      </w:r>
      <w:r w:rsidR="00842152" w:rsidRPr="00842152">
        <w:rPr>
          <w:rFonts w:cs="Calibri"/>
          <w:b/>
          <w:bCs/>
          <w:color w:val="244061"/>
          <w:sz w:val="20"/>
          <w:szCs w:val="20"/>
        </w:rPr>
        <w:t>Каландарашвили</w:t>
      </w:r>
      <w:r w:rsidRPr="00842152">
        <w:rPr>
          <w:rFonts w:cs="Calibri"/>
          <w:b/>
          <w:bCs/>
          <w:color w:val="244061"/>
          <w:sz w:val="20"/>
          <w:szCs w:val="20"/>
        </w:rPr>
        <w:t>,</w:t>
      </w:r>
      <w:r w:rsidR="00842152" w:rsidRPr="00842152">
        <w:rPr>
          <w:rFonts w:cs="Calibri"/>
          <w:b/>
          <w:bCs/>
          <w:color w:val="244061"/>
          <w:sz w:val="20"/>
          <w:szCs w:val="20"/>
        </w:rPr>
        <w:t xml:space="preserve"> д. 5</w:t>
      </w:r>
      <w:r w:rsidRPr="00842152">
        <w:rPr>
          <w:rFonts w:cs="Calibri"/>
          <w:b/>
          <w:bCs/>
          <w:color w:val="244061"/>
          <w:sz w:val="20"/>
          <w:szCs w:val="20"/>
        </w:rPr>
        <w:t xml:space="preserve">, </w:t>
      </w:r>
    </w:p>
    <w:p w:rsidR="00842152" w:rsidRPr="00842152" w:rsidRDefault="00842152" w:rsidP="003A2C52">
      <w:pPr>
        <w:pStyle w:val="unknownstyle1"/>
        <w:widowControl w:val="0"/>
        <w:spacing w:line="240" w:lineRule="auto"/>
        <w:rPr>
          <w:rFonts w:cs="Calibri"/>
          <w:b/>
          <w:bCs/>
          <w:color w:val="244061"/>
          <w:sz w:val="20"/>
          <w:szCs w:val="20"/>
        </w:rPr>
      </w:pPr>
      <w:r w:rsidRPr="00842152">
        <w:rPr>
          <w:rFonts w:cs="Calibri"/>
          <w:b/>
          <w:bCs/>
          <w:color w:val="244061"/>
          <w:sz w:val="20"/>
          <w:szCs w:val="20"/>
        </w:rPr>
        <w:t>Тел. 8-4112-44-58-98,</w:t>
      </w:r>
    </w:p>
    <w:p w:rsidR="00842152" w:rsidRPr="00842152" w:rsidRDefault="00842152" w:rsidP="003A2C52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  <w:r w:rsidRPr="00842152">
        <w:rPr>
          <w:rFonts w:cs="Calibri"/>
          <w:b/>
          <w:bCs/>
          <w:color w:val="244061"/>
          <w:sz w:val="20"/>
          <w:szCs w:val="20"/>
          <w:lang w:val="en-US"/>
        </w:rPr>
        <w:t>iakup</w:t>
      </w:r>
      <w:r w:rsidRPr="00842152">
        <w:rPr>
          <w:rFonts w:cs="Calibri"/>
          <w:b/>
          <w:bCs/>
          <w:color w:val="244061"/>
          <w:sz w:val="20"/>
          <w:szCs w:val="20"/>
        </w:rPr>
        <w:t>@14</w:t>
      </w:r>
      <w:r w:rsidRPr="00842152">
        <w:rPr>
          <w:rFonts w:cs="Calibri"/>
          <w:b/>
          <w:bCs/>
          <w:color w:val="244061"/>
          <w:sz w:val="20"/>
          <w:szCs w:val="20"/>
          <w:lang w:val="en-US"/>
        </w:rPr>
        <w:t>.mailop</w:t>
      </w:r>
      <w:r w:rsidRPr="00842152">
        <w:rPr>
          <w:rFonts w:cs="Calibri"/>
          <w:b/>
          <w:bCs/>
          <w:color w:val="244061"/>
          <w:sz w:val="20"/>
          <w:szCs w:val="20"/>
        </w:rPr>
        <w:t>.</w:t>
      </w:r>
      <w:r w:rsidRPr="00842152">
        <w:rPr>
          <w:rFonts w:cs="Calibri"/>
          <w:b/>
          <w:bCs/>
          <w:color w:val="244061"/>
          <w:sz w:val="20"/>
          <w:szCs w:val="20"/>
          <w:lang w:val="en-US"/>
        </w:rPr>
        <w:t>ru</w:t>
      </w:r>
    </w:p>
    <w:tbl>
      <w:tblPr>
        <w:tblW w:w="4853" w:type="dxa"/>
        <w:tblInd w:w="108" w:type="dxa"/>
        <w:tblLook w:val="01E0" w:firstRow="1" w:lastRow="1" w:firstColumn="1" w:lastColumn="1" w:noHBand="0" w:noVBand="0"/>
      </w:tblPr>
      <w:tblGrid>
        <w:gridCol w:w="280"/>
        <w:gridCol w:w="4573"/>
      </w:tblGrid>
      <w:tr w:rsidR="00051041" w:rsidRPr="005A2567" w:rsidTr="006000E7">
        <w:trPr>
          <w:trHeight w:val="1140"/>
        </w:trPr>
        <w:tc>
          <w:tcPr>
            <w:tcW w:w="280" w:type="dxa"/>
          </w:tcPr>
          <w:p w:rsidR="00716C2E" w:rsidRDefault="00716C2E" w:rsidP="00367783">
            <w:pPr>
              <w:jc w:val="center"/>
              <w:rPr>
                <w:rFonts w:ascii="Arial Narrow" w:hAnsi="Arial Narrow"/>
                <w:b/>
                <w:sz w:val="25"/>
                <w:szCs w:val="25"/>
                <w:lang w:val="ru-RU"/>
              </w:rPr>
            </w:pPr>
          </w:p>
          <w:p w:rsidR="006000E7" w:rsidRPr="003A2C52" w:rsidRDefault="006000E7" w:rsidP="00367783">
            <w:pPr>
              <w:jc w:val="center"/>
              <w:rPr>
                <w:rFonts w:ascii="Arial Narrow" w:hAnsi="Arial Narrow"/>
                <w:b/>
                <w:sz w:val="25"/>
                <w:szCs w:val="25"/>
                <w:lang w:val="ru-RU"/>
              </w:rPr>
            </w:pPr>
          </w:p>
          <w:p w:rsidR="00051041" w:rsidRPr="003A2C52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3A2C52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     </w:t>
            </w:r>
            <w:r w:rsidR="00051041" w:rsidRPr="003A2C52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573" w:type="dxa"/>
            <w:vAlign w:val="bottom"/>
          </w:tcPr>
          <w:p w:rsidR="00716C2E" w:rsidRPr="003A2C52" w:rsidRDefault="00716C2E" w:rsidP="00367783">
            <w:pPr>
              <w:ind w:left="1734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</w:pPr>
          </w:p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13AC659" wp14:editId="56D8163A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367783" w:rsidRPr="00842152" w:rsidRDefault="00842152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ru-RU"/>
              </w:rPr>
            </w:pPr>
            <w:r w:rsidRPr="00842152">
              <w:rPr>
                <w:rFonts w:asciiTheme="minorHAnsi" w:hAnsiTheme="minorHAnsi" w:cstheme="minorHAnsi"/>
                <w:b/>
                <w:i/>
                <w:color w:val="943634" w:themeColor="accent2" w:themeShade="BF"/>
                <w:lang w:val="ru-RU"/>
              </w:rPr>
              <w:t>Якутская природоохранная прокуратура Республики Саха (Якутия)</w:t>
            </w:r>
          </w:p>
          <w:p w:rsidR="00051041" w:rsidRPr="00842152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</w:p>
        </w:tc>
      </w:tr>
      <w:tr w:rsidR="00051041" w:rsidRPr="005A2567" w:rsidTr="006000E7">
        <w:trPr>
          <w:trHeight w:val="426"/>
        </w:trPr>
        <w:tc>
          <w:tcPr>
            <w:tcW w:w="4853" w:type="dxa"/>
            <w:gridSpan w:val="2"/>
            <w:vAlign w:val="bottom"/>
          </w:tcPr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0E49FE" w:rsidRDefault="000E49FE" w:rsidP="00497B85">
      <w:pPr>
        <w:rPr>
          <w:sz w:val="25"/>
          <w:szCs w:val="25"/>
          <w:lang w:val="ru-RU"/>
        </w:rPr>
      </w:pPr>
    </w:p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FD3338" w:rsidRPr="00FD3338" w:rsidRDefault="00FD3338" w:rsidP="00FD3338">
      <w:pPr>
        <w:jc w:val="center"/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</w:pPr>
      <w:r w:rsidRPr="00FD3338"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  <w:t>Ответственность за загрязнение</w:t>
      </w:r>
    </w:p>
    <w:p w:rsidR="00842152" w:rsidRDefault="00FD3338" w:rsidP="00FD3338">
      <w:pPr>
        <w:jc w:val="center"/>
        <w:rPr>
          <w:noProof/>
          <w:sz w:val="25"/>
          <w:szCs w:val="25"/>
          <w:lang w:val="ru-RU" w:eastAsia="ru-RU" w:bidi="ar-SA"/>
        </w:rPr>
      </w:pPr>
      <w:r w:rsidRPr="00FD3338">
        <w:rPr>
          <w:rFonts w:asciiTheme="majorHAnsi" w:hAnsiTheme="majorHAnsi"/>
          <w:b/>
          <w:bCs/>
          <w:i/>
          <w:color w:val="943634" w:themeColor="accent2" w:themeShade="BF"/>
          <w:bdr w:val="none" w:sz="0" w:space="0" w:color="auto" w:frame="1"/>
          <w:lang w:val="ru-RU" w:eastAsia="ru-RU"/>
        </w:rPr>
        <w:t>атмосферного воздуха</w:t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Pr="00842152" w:rsidRDefault="00F56A0D" w:rsidP="00497B85">
      <w:pPr>
        <w:rPr>
          <w:sz w:val="25"/>
          <w:szCs w:val="25"/>
          <w:lang w:val="ru-RU"/>
        </w:rPr>
      </w:pPr>
      <w:r w:rsidRPr="0084215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02641" w:rsidRDefault="00FD3338" w:rsidP="001E48F0">
      <w:pPr>
        <w:ind w:left="-284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8255</wp:posOffset>
            </wp:positionV>
            <wp:extent cx="2135622" cy="1609725"/>
            <wp:effectExtent l="0" t="0" r="0" b="0"/>
            <wp:wrapNone/>
            <wp:docPr id="12" name="Рисунок 12" descr="ÐÐ°ÑÑÐ¸Ð½ÐºÐ¸ Ð¿Ð¾ Ð·Ð°Ð¿ÑÐ¾ÑÑ ÐÑÐ°Ð²Ð° Ð¾Ð±ÑÐµÑÑÐ²ÐµÐ½Ð½ÑÑ Ð¾Ð±ÑÐµÐ´Ð¸Ð½ÐµÐ½Ð¸Ð¹ Ð¿Ð¾ Ð¾ÑÑÐ°Ð½Ðµ Ð¾ÐºÑÑÐ¶Ð°ÑÑÐµÐ¹ ÑÑÐµÐ´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ÑÐ°Ð²Ð° Ð¾Ð±ÑÐµÑÑÐ²ÐµÐ½Ð½ÑÑ Ð¾Ð±ÑÐµÐ´Ð¸Ð½ÐµÐ½Ð¸Ð¹ Ð¿Ð¾ Ð¾ÑÑÐ°Ð½Ðµ Ð¾ÐºÑÑÐ¶Ð°ÑÑÐµÐ¹ ÑÑÐµÐ´Ñ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22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</w:p>
    <w:p w:rsidR="00842152" w:rsidRDefault="00842152" w:rsidP="00842152">
      <w:pPr>
        <w:ind w:left="-284"/>
        <w:jc w:val="center"/>
        <w:rPr>
          <w:b/>
          <w:color w:val="943634" w:themeColor="accent2" w:themeShade="BF"/>
          <w:lang w:val="ru-RU"/>
        </w:rPr>
      </w:pPr>
      <w:r>
        <w:rPr>
          <w:b/>
          <w:color w:val="943634" w:themeColor="accent2" w:themeShade="BF"/>
          <w:lang w:val="ru-RU"/>
        </w:rPr>
        <w:t>г.</w:t>
      </w:r>
      <w:r w:rsidR="003A2C52">
        <w:rPr>
          <w:b/>
          <w:color w:val="943634" w:themeColor="accent2" w:themeShade="BF"/>
          <w:lang w:val="ru-RU"/>
        </w:rPr>
        <w:t xml:space="preserve"> Якутск</w:t>
      </w:r>
    </w:p>
    <w:p w:rsidR="00477950" w:rsidRPr="00716C2E" w:rsidRDefault="00367783" w:rsidP="00842152">
      <w:pPr>
        <w:ind w:left="-284"/>
        <w:jc w:val="center"/>
        <w:rPr>
          <w:b/>
          <w:color w:val="943634" w:themeColor="accent2" w:themeShade="BF"/>
          <w:lang w:val="ru-RU"/>
        </w:rPr>
      </w:pPr>
      <w:r w:rsidRPr="00716C2E">
        <w:rPr>
          <w:b/>
          <w:color w:val="943634" w:themeColor="accent2" w:themeShade="BF"/>
          <w:lang w:val="ru-RU"/>
        </w:rPr>
        <w:t>20</w:t>
      </w:r>
      <w:r w:rsidR="00D26B9C">
        <w:rPr>
          <w:b/>
          <w:color w:val="943634" w:themeColor="accent2" w:themeShade="BF"/>
          <w:lang w:val="ru-RU"/>
        </w:rPr>
        <w:t>2</w:t>
      </w:r>
      <w:r w:rsidR="005A2567">
        <w:rPr>
          <w:b/>
          <w:color w:val="943634" w:themeColor="accent2" w:themeShade="BF"/>
          <w:lang w:val="ru-RU"/>
        </w:rPr>
        <w:t>4</w:t>
      </w:r>
      <w:bookmarkStart w:id="0" w:name="_GoBack"/>
      <w:bookmarkEnd w:id="0"/>
      <w:r w:rsidR="001D127F" w:rsidRPr="00716C2E">
        <w:rPr>
          <w:b/>
          <w:color w:val="943634" w:themeColor="accent2" w:themeShade="BF"/>
          <w:lang w:val="ru-RU"/>
        </w:rPr>
        <w:t xml:space="preserve"> год</w:t>
      </w:r>
    </w:p>
    <w:sectPr w:rsidR="00477950" w:rsidRPr="00716C2E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3A" w:rsidRDefault="002F323A">
      <w:r>
        <w:separator/>
      </w:r>
    </w:p>
  </w:endnote>
  <w:endnote w:type="continuationSeparator" w:id="0">
    <w:p w:rsidR="002F323A" w:rsidRDefault="002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3A" w:rsidRDefault="002F323A">
      <w:r>
        <w:separator/>
      </w:r>
    </w:p>
  </w:footnote>
  <w:footnote w:type="continuationSeparator" w:id="0">
    <w:p w:rsidR="002F323A" w:rsidRDefault="002F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pt" o:bullet="t">
        <v:imagedata r:id="rId1" o:title="advocat"/>
      </v:shape>
    </w:pict>
  </w:numPicBullet>
  <w:numPicBullet w:numPicBulletId="1">
    <w:pict>
      <v:shape id="_x0000_i1030" type="#_x0000_t75" style="width:9pt;height:9pt" o:bullet="t">
        <v:imagedata r:id="rId2" o:title="BD21298_"/>
      </v:shape>
    </w:pict>
  </w:numPicBullet>
  <w:numPicBullet w:numPicBulletId="2">
    <w:pict>
      <v:shape id="_x0000_i1031" type="#_x0000_t75" style="width:12pt;height:12pt" o:bullet="t">
        <v:imagedata r:id="rId3" o:title="BD14565_"/>
      </v:shape>
    </w:pict>
  </w:numPicBullet>
  <w:abstractNum w:abstractNumId="0" w15:restartNumberingAfterBreak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8"/>
    <w:rsid w:val="00000003"/>
    <w:rsid w:val="00006142"/>
    <w:rsid w:val="00006D87"/>
    <w:rsid w:val="00011EDB"/>
    <w:rsid w:val="00023BC1"/>
    <w:rsid w:val="000244A0"/>
    <w:rsid w:val="00040EF7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1CE2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55D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1735D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323A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42009"/>
    <w:rsid w:val="00344F5B"/>
    <w:rsid w:val="00351C8F"/>
    <w:rsid w:val="003540F4"/>
    <w:rsid w:val="00361081"/>
    <w:rsid w:val="00366D4D"/>
    <w:rsid w:val="00367783"/>
    <w:rsid w:val="00384B6F"/>
    <w:rsid w:val="00386F7F"/>
    <w:rsid w:val="00391C2A"/>
    <w:rsid w:val="00393ADB"/>
    <w:rsid w:val="0039485F"/>
    <w:rsid w:val="00395D85"/>
    <w:rsid w:val="00395F05"/>
    <w:rsid w:val="00395F51"/>
    <w:rsid w:val="00396FD0"/>
    <w:rsid w:val="00397058"/>
    <w:rsid w:val="003A2C52"/>
    <w:rsid w:val="003A63B6"/>
    <w:rsid w:val="003A7FC5"/>
    <w:rsid w:val="003B03F7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4E94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0566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763CD"/>
    <w:rsid w:val="005804A0"/>
    <w:rsid w:val="005851D0"/>
    <w:rsid w:val="0059414A"/>
    <w:rsid w:val="005971B3"/>
    <w:rsid w:val="005A18F6"/>
    <w:rsid w:val="005A1AE5"/>
    <w:rsid w:val="005A2567"/>
    <w:rsid w:val="005A41CB"/>
    <w:rsid w:val="005A6E1F"/>
    <w:rsid w:val="005B05FA"/>
    <w:rsid w:val="005C01CB"/>
    <w:rsid w:val="005C3C36"/>
    <w:rsid w:val="005D2152"/>
    <w:rsid w:val="005D3A1D"/>
    <w:rsid w:val="005E38C1"/>
    <w:rsid w:val="005E5E3A"/>
    <w:rsid w:val="005E6EA9"/>
    <w:rsid w:val="005E7EF9"/>
    <w:rsid w:val="005F10AD"/>
    <w:rsid w:val="005F4E60"/>
    <w:rsid w:val="005F707D"/>
    <w:rsid w:val="006000E7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4BBC"/>
    <w:rsid w:val="00636BD7"/>
    <w:rsid w:val="006372D9"/>
    <w:rsid w:val="00644C62"/>
    <w:rsid w:val="0064506C"/>
    <w:rsid w:val="00646C31"/>
    <w:rsid w:val="00647B6E"/>
    <w:rsid w:val="006621C7"/>
    <w:rsid w:val="00672F68"/>
    <w:rsid w:val="00680E00"/>
    <w:rsid w:val="00692AE2"/>
    <w:rsid w:val="00694C09"/>
    <w:rsid w:val="006A64D6"/>
    <w:rsid w:val="006B0E04"/>
    <w:rsid w:val="006B529C"/>
    <w:rsid w:val="006B758E"/>
    <w:rsid w:val="006C2546"/>
    <w:rsid w:val="006D3B75"/>
    <w:rsid w:val="006D5EEE"/>
    <w:rsid w:val="006D75FC"/>
    <w:rsid w:val="006E0F57"/>
    <w:rsid w:val="006E3EA2"/>
    <w:rsid w:val="006E4068"/>
    <w:rsid w:val="006E5500"/>
    <w:rsid w:val="006E5D23"/>
    <w:rsid w:val="006F4A2F"/>
    <w:rsid w:val="006F4A98"/>
    <w:rsid w:val="00701C00"/>
    <w:rsid w:val="0070481D"/>
    <w:rsid w:val="007112B8"/>
    <w:rsid w:val="007115CA"/>
    <w:rsid w:val="007136FC"/>
    <w:rsid w:val="00714347"/>
    <w:rsid w:val="00716C2E"/>
    <w:rsid w:val="007207BE"/>
    <w:rsid w:val="00733A52"/>
    <w:rsid w:val="00741B29"/>
    <w:rsid w:val="00750E5C"/>
    <w:rsid w:val="00765F08"/>
    <w:rsid w:val="00773697"/>
    <w:rsid w:val="007740A9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2405B"/>
    <w:rsid w:val="008317FD"/>
    <w:rsid w:val="00831EAA"/>
    <w:rsid w:val="00837710"/>
    <w:rsid w:val="00842152"/>
    <w:rsid w:val="0084502B"/>
    <w:rsid w:val="00850E47"/>
    <w:rsid w:val="0085185F"/>
    <w:rsid w:val="00874A26"/>
    <w:rsid w:val="008828CD"/>
    <w:rsid w:val="00882AA6"/>
    <w:rsid w:val="00885EE3"/>
    <w:rsid w:val="0089018A"/>
    <w:rsid w:val="008924AB"/>
    <w:rsid w:val="00893EF4"/>
    <w:rsid w:val="0089695F"/>
    <w:rsid w:val="008A1FF3"/>
    <w:rsid w:val="008A21E9"/>
    <w:rsid w:val="008B43AF"/>
    <w:rsid w:val="008B4E10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4691D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56D55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595"/>
    <w:rsid w:val="00AC0FAB"/>
    <w:rsid w:val="00AC47B8"/>
    <w:rsid w:val="00AC62CE"/>
    <w:rsid w:val="00AD4624"/>
    <w:rsid w:val="00AD6255"/>
    <w:rsid w:val="00AE0A79"/>
    <w:rsid w:val="00AE1031"/>
    <w:rsid w:val="00AE3B54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5AB"/>
    <w:rsid w:val="00B57BCB"/>
    <w:rsid w:val="00B64903"/>
    <w:rsid w:val="00B66573"/>
    <w:rsid w:val="00B7154C"/>
    <w:rsid w:val="00B77558"/>
    <w:rsid w:val="00B97D30"/>
    <w:rsid w:val="00BA2BBC"/>
    <w:rsid w:val="00BA35CB"/>
    <w:rsid w:val="00BA4941"/>
    <w:rsid w:val="00BA63D9"/>
    <w:rsid w:val="00BB4E2D"/>
    <w:rsid w:val="00BC4CD6"/>
    <w:rsid w:val="00BC5597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05F"/>
    <w:rsid w:val="00BF6DF6"/>
    <w:rsid w:val="00C008CE"/>
    <w:rsid w:val="00C03427"/>
    <w:rsid w:val="00C10A30"/>
    <w:rsid w:val="00C128B1"/>
    <w:rsid w:val="00C208E5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DD9"/>
    <w:rsid w:val="00CC7672"/>
    <w:rsid w:val="00CD20C6"/>
    <w:rsid w:val="00CE063B"/>
    <w:rsid w:val="00CE1F54"/>
    <w:rsid w:val="00CF0C8B"/>
    <w:rsid w:val="00CF1E6D"/>
    <w:rsid w:val="00CF4724"/>
    <w:rsid w:val="00D056C6"/>
    <w:rsid w:val="00D060FE"/>
    <w:rsid w:val="00D07C47"/>
    <w:rsid w:val="00D16CE9"/>
    <w:rsid w:val="00D20C8C"/>
    <w:rsid w:val="00D26041"/>
    <w:rsid w:val="00D26B9C"/>
    <w:rsid w:val="00D34AD3"/>
    <w:rsid w:val="00D375CC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83F4B"/>
    <w:rsid w:val="00D943F3"/>
    <w:rsid w:val="00D94976"/>
    <w:rsid w:val="00D966BC"/>
    <w:rsid w:val="00DA240B"/>
    <w:rsid w:val="00DA244F"/>
    <w:rsid w:val="00DA574E"/>
    <w:rsid w:val="00DA5AD4"/>
    <w:rsid w:val="00DA7677"/>
    <w:rsid w:val="00DB1790"/>
    <w:rsid w:val="00DB7224"/>
    <w:rsid w:val="00DC2037"/>
    <w:rsid w:val="00DC257C"/>
    <w:rsid w:val="00DE05B0"/>
    <w:rsid w:val="00DE3A40"/>
    <w:rsid w:val="00DF021D"/>
    <w:rsid w:val="00DF1DF5"/>
    <w:rsid w:val="00E03B55"/>
    <w:rsid w:val="00E03FC0"/>
    <w:rsid w:val="00E10051"/>
    <w:rsid w:val="00E14A24"/>
    <w:rsid w:val="00E31A3D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97475"/>
    <w:rsid w:val="00FA2849"/>
    <w:rsid w:val="00FA2F3D"/>
    <w:rsid w:val="00FA3459"/>
    <w:rsid w:val="00FA74B5"/>
    <w:rsid w:val="00FB39F9"/>
    <w:rsid w:val="00FB5C27"/>
    <w:rsid w:val="00FB5E73"/>
    <w:rsid w:val="00FB7EE7"/>
    <w:rsid w:val="00FC04B6"/>
    <w:rsid w:val="00FD3338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  <w14:docId w14:val="1F2D4528"/>
  <w15:docId w15:val="{8FA66038-820E-46D0-8420-DB97B49D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Заголовок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7182-BB15-435D-B1AB-BCAAE373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3723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Слепцов Прокопий Николаевич</cp:lastModifiedBy>
  <cp:revision>2</cp:revision>
  <cp:lastPrinted>2023-06-24T00:37:00Z</cp:lastPrinted>
  <dcterms:created xsi:type="dcterms:W3CDTF">2024-04-26T06:15:00Z</dcterms:created>
  <dcterms:modified xsi:type="dcterms:W3CDTF">2024-04-26T06:15:00Z</dcterms:modified>
</cp:coreProperties>
</file>