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CE" w:rsidRDefault="000718CE" w:rsidP="000718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для населения о противодействии незаконной игорной деятельности</w:t>
      </w:r>
    </w:p>
    <w:p w:rsidR="000718CE" w:rsidRDefault="000718CE" w:rsidP="000718CE">
      <w:pPr>
        <w:pStyle w:val="ConsPlusNormal"/>
        <w:ind w:firstLine="540"/>
        <w:jc w:val="both"/>
        <w:rPr>
          <w:b/>
        </w:rPr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 xml:space="preserve">     </w:t>
      </w:r>
      <w:r w:rsidRPr="000718CE">
        <w:t>Федеральным законом Российской Федерации</w:t>
      </w:r>
      <w:r>
        <w:t xml:space="preserve">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 даны  основные понятия, используемые  в регулировании данных правоотношений.</w:t>
      </w:r>
    </w:p>
    <w:p w:rsidR="000718CE" w:rsidRPr="000718CE" w:rsidRDefault="000718CE" w:rsidP="000718CE">
      <w:pPr>
        <w:pStyle w:val="ConsPlusNormal"/>
        <w:ind w:firstLine="540"/>
        <w:jc w:val="both"/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>Азартная игра</w:t>
      </w:r>
      <w:r>
        <w:t xml:space="preserve"> - основанное на риске соглашение о выигрыше, заключенное двумя или несколькими участниками такого соглашения между собой либо с организатором азартной игры по правилам, установленным организатором азартной игры.</w:t>
      </w:r>
    </w:p>
    <w:p w:rsidR="000718CE" w:rsidRDefault="000718CE" w:rsidP="000718CE">
      <w:pPr>
        <w:pStyle w:val="ConsPlusNormal"/>
        <w:ind w:firstLine="540"/>
        <w:jc w:val="both"/>
        <w:rPr>
          <w:b/>
        </w:rPr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>Деятельность по организации и проведению азартных игр</w:t>
      </w:r>
      <w:r>
        <w:t xml:space="preserve"> - деятельность по оказанию услуг по заключению с участниками азартных игр основанных на риске соглашений о выигрыше и (или) по организации заключения таких соглашений между двумя или несколькими участниками азартной игры.</w:t>
      </w:r>
    </w:p>
    <w:p w:rsidR="000718CE" w:rsidRDefault="000718CE" w:rsidP="000718CE">
      <w:pPr>
        <w:pStyle w:val="ConsPlusNormal"/>
        <w:ind w:firstLine="540"/>
        <w:jc w:val="both"/>
        <w:rPr>
          <w:i/>
        </w:rPr>
      </w:pPr>
    </w:p>
    <w:p w:rsidR="000718CE" w:rsidRDefault="000718CE" w:rsidP="0007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Игровое оборудование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- устройства или приспособления, используемые для проведения азартных игр.</w:t>
      </w:r>
    </w:p>
    <w:p w:rsidR="000718CE" w:rsidRDefault="000718CE" w:rsidP="0007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>Игорная зона</w:t>
      </w:r>
      <w:r>
        <w:t xml:space="preserve"> - часть территории Российской Федерации, которая предназначена для осуществления деятельности по организации и проведению азартных игр и границы которой установлены законом.</w:t>
      </w:r>
    </w:p>
    <w:p w:rsidR="000718CE" w:rsidRDefault="000718CE" w:rsidP="000718CE">
      <w:pPr>
        <w:pStyle w:val="ConsPlusNormal"/>
        <w:ind w:firstLine="540"/>
        <w:jc w:val="both"/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>Букмекерская контора</w:t>
      </w:r>
      <w:r>
        <w:t xml:space="preserve"> - игорное заведение, в котором организатор азартных игр заключает пари с участниками данного вида азартных игр.</w:t>
      </w:r>
    </w:p>
    <w:p w:rsidR="000718CE" w:rsidRDefault="000718CE" w:rsidP="000718CE">
      <w:pPr>
        <w:pStyle w:val="ConsPlusNormal"/>
        <w:ind w:firstLine="540"/>
        <w:jc w:val="both"/>
      </w:pPr>
    </w:p>
    <w:p w:rsidR="000718CE" w:rsidRDefault="000718CE" w:rsidP="000718CE">
      <w:pPr>
        <w:pStyle w:val="ConsPlusNormal"/>
        <w:ind w:firstLine="540"/>
        <w:jc w:val="both"/>
      </w:pPr>
      <w:r>
        <w:rPr>
          <w:b/>
        </w:rPr>
        <w:t>Тотализатор</w:t>
      </w:r>
      <w:r>
        <w:t xml:space="preserve"> - игорное заведение, в котором организатор азартных игр организует заключение пари между участниками данного вида азартных игр, а также выплату выигрышей за счет суммы ставок, принятых от участников данного вида азартных игр, за вычетом размера взимаемого организатором данного вида азартных игр вознаграждения.</w:t>
      </w:r>
    </w:p>
    <w:p w:rsidR="000718CE" w:rsidRDefault="000718CE" w:rsidP="000718CE">
      <w:pPr>
        <w:pStyle w:val="ConsPlusNormal"/>
        <w:ind w:firstLine="540"/>
        <w:jc w:val="both"/>
      </w:pPr>
    </w:p>
    <w:p w:rsidR="000718CE" w:rsidRDefault="000718CE" w:rsidP="000718CE">
      <w:pPr>
        <w:pStyle w:val="ConsPlusNormal"/>
        <w:ind w:firstLine="540"/>
        <w:jc w:val="both"/>
      </w:pPr>
      <w:r>
        <w:t>Установлено, что игорные зоны создаются на территориях следующих субъектов Российской Федерации:</w:t>
      </w:r>
    </w:p>
    <w:p w:rsidR="000718CE" w:rsidRDefault="000718CE" w:rsidP="000718CE">
      <w:pPr>
        <w:pStyle w:val="ConsPlusNormal"/>
        <w:ind w:firstLine="540"/>
        <w:jc w:val="both"/>
      </w:pPr>
      <w:r>
        <w:t>Республика Крым;</w:t>
      </w:r>
    </w:p>
    <w:p w:rsidR="000718CE" w:rsidRDefault="000718CE" w:rsidP="000718CE">
      <w:pPr>
        <w:pStyle w:val="ConsPlusNormal"/>
        <w:ind w:firstLine="540"/>
        <w:jc w:val="both"/>
      </w:pPr>
      <w:r>
        <w:t>Алтайский край;</w:t>
      </w:r>
    </w:p>
    <w:p w:rsidR="000718CE" w:rsidRDefault="000718CE" w:rsidP="000718CE">
      <w:pPr>
        <w:pStyle w:val="ConsPlusNormal"/>
        <w:ind w:firstLine="540"/>
        <w:jc w:val="both"/>
      </w:pPr>
      <w:r>
        <w:t>Краснодарский край;</w:t>
      </w:r>
    </w:p>
    <w:p w:rsidR="000718CE" w:rsidRDefault="000718CE" w:rsidP="000718CE">
      <w:pPr>
        <w:pStyle w:val="ConsPlusNormal"/>
        <w:ind w:firstLine="540"/>
        <w:jc w:val="both"/>
      </w:pPr>
      <w:r>
        <w:t>Приморский край;</w:t>
      </w:r>
    </w:p>
    <w:p w:rsidR="000718CE" w:rsidRDefault="000718CE" w:rsidP="000718CE">
      <w:pPr>
        <w:pStyle w:val="ConsPlusNormal"/>
        <w:ind w:firstLine="540"/>
        <w:jc w:val="both"/>
      </w:pPr>
      <w:r>
        <w:t>Калининградская область.</w:t>
      </w:r>
    </w:p>
    <w:p w:rsidR="000718CE" w:rsidRDefault="000718CE" w:rsidP="000718CE">
      <w:pPr>
        <w:pStyle w:val="ConsPlusNormal"/>
        <w:ind w:firstLine="540"/>
        <w:jc w:val="both"/>
      </w:pPr>
    </w:p>
    <w:p w:rsidR="00EB3C5A" w:rsidRDefault="00D93A75" w:rsidP="000718CE">
      <w:pPr>
        <w:pStyle w:val="ConsPlusNormal"/>
        <w:ind w:firstLine="540"/>
        <w:jc w:val="both"/>
        <w:rPr>
          <w:iCs/>
        </w:rPr>
      </w:pPr>
      <w:r>
        <w:rPr>
          <w:iCs/>
        </w:rPr>
        <w:lastRenderedPageBreak/>
        <w:t>Определено, что б</w:t>
      </w:r>
      <w:r w:rsidR="000718CE">
        <w:rPr>
          <w:iCs/>
        </w:rPr>
        <w:t xml:space="preserve">укмекерские конторы, тотализаторы, их пункты приема ставок (за исключением открываемых в игорных зонах) могут быть открыты исключительно на основании </w:t>
      </w:r>
      <w:r w:rsidR="000718CE" w:rsidRPr="00EB3C5A">
        <w:rPr>
          <w:b/>
          <w:iCs/>
        </w:rPr>
        <w:t>лицензий</w:t>
      </w:r>
      <w:r w:rsidR="00EB3C5A">
        <w:rPr>
          <w:iCs/>
        </w:rPr>
        <w:t>.</w:t>
      </w:r>
    </w:p>
    <w:p w:rsidR="000718CE" w:rsidRDefault="000718CE" w:rsidP="000718CE">
      <w:pPr>
        <w:pStyle w:val="ConsPlusNormal"/>
        <w:ind w:firstLine="540"/>
        <w:jc w:val="both"/>
      </w:pPr>
    </w:p>
    <w:p w:rsidR="000718CE" w:rsidRDefault="00D93A75" w:rsidP="0007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="000718CE">
        <w:rPr>
          <w:rFonts w:ascii="Times New Roman" w:hAnsi="Times New Roman" w:cs="Times New Roman"/>
          <w:iCs/>
          <w:sz w:val="28"/>
          <w:szCs w:val="28"/>
        </w:rPr>
        <w:t xml:space="preserve">еятельность по организации и проведению азартных игр в букмекерских конторах, тотализаторах, их пунктах приема ставок может быть организована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0718CE">
        <w:rPr>
          <w:rFonts w:ascii="Times New Roman" w:hAnsi="Times New Roman" w:cs="Times New Roman"/>
          <w:iCs/>
          <w:sz w:val="28"/>
          <w:szCs w:val="28"/>
        </w:rPr>
        <w:t>вне игорных зон.</w:t>
      </w:r>
    </w:p>
    <w:p w:rsidR="000718CE" w:rsidRDefault="000718CE" w:rsidP="00071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718CE" w:rsidRDefault="00D93A75" w:rsidP="000718CE">
      <w:pPr>
        <w:pStyle w:val="ConsPlusNormal"/>
        <w:ind w:firstLine="540"/>
        <w:jc w:val="both"/>
      </w:pPr>
      <w:proofErr w:type="gramStart"/>
      <w:r>
        <w:rPr>
          <w:b/>
        </w:rPr>
        <w:t>За н</w:t>
      </w:r>
      <w:r w:rsidR="000718CE">
        <w:rPr>
          <w:b/>
        </w:rPr>
        <w:t>езаконн</w:t>
      </w:r>
      <w:r>
        <w:rPr>
          <w:b/>
        </w:rPr>
        <w:t>ую</w:t>
      </w:r>
      <w:r w:rsidR="000718CE">
        <w:rPr>
          <w:b/>
        </w:rPr>
        <w:t xml:space="preserve"> организаци</w:t>
      </w:r>
      <w:r>
        <w:rPr>
          <w:b/>
        </w:rPr>
        <w:t>ю</w:t>
      </w:r>
      <w:r w:rsidR="000718CE">
        <w:rPr>
          <w:b/>
        </w:rPr>
        <w:t xml:space="preserve"> и (или) проведение азартных игр</w:t>
      </w:r>
      <w:r w:rsidR="000718CE">
        <w:t xml:space="preserve"> с использованием игрового оборудования вне игорной зоны, либо с использованием информационно-телекоммуникационных сетей, в том числе сети «Интернет», а также средств связи, в том числе подвижной связи, либо без полученного в установленном порядке </w:t>
      </w:r>
      <w:hyperlink r:id="rId6" w:history="1">
        <w:r w:rsidR="000718CE">
          <w:rPr>
            <w:rStyle w:val="a4"/>
            <w:color w:val="auto"/>
            <w:u w:val="none"/>
          </w:rPr>
          <w:t>разрешения</w:t>
        </w:r>
      </w:hyperlink>
      <w:r w:rsidR="000718CE">
        <w:t xml:space="preserve"> на осуществление деятельности по организации и проведению азартных игр в игорной зоне </w:t>
      </w:r>
      <w:r w:rsidRPr="00D93A75">
        <w:rPr>
          <w:b/>
        </w:rPr>
        <w:t>установлена административная ответственность</w:t>
      </w:r>
      <w:r>
        <w:t xml:space="preserve"> по ст. 14.1.1 Кодекса</w:t>
      </w:r>
      <w:proofErr w:type="gramEnd"/>
      <w:r>
        <w:t xml:space="preserve"> РФ об административных правонарушениях, максимальное наказание по которой для</w:t>
      </w:r>
      <w:r w:rsidR="000718CE">
        <w:t xml:space="preserve"> </w:t>
      </w:r>
      <w:r w:rsidR="000718CE">
        <w:rPr>
          <w:b/>
        </w:rPr>
        <w:t>юридических лиц</w:t>
      </w:r>
      <w:r>
        <w:rPr>
          <w:b/>
        </w:rPr>
        <w:t xml:space="preserve"> </w:t>
      </w:r>
      <w:r w:rsidRPr="00D93A75">
        <w:t>предусмотрено</w:t>
      </w:r>
      <w:r w:rsidR="000718CE" w:rsidRPr="00D93A75">
        <w:t xml:space="preserve"> </w:t>
      </w:r>
      <w:r>
        <w:t>в виде штраф</w:t>
      </w:r>
      <w:r w:rsidR="001A018A">
        <w:t>а</w:t>
      </w:r>
      <w:r>
        <w:t xml:space="preserve"> </w:t>
      </w:r>
      <w:r w:rsidR="000718CE">
        <w:t>до одного миллиона рублей с конфискацией игрового оборудования</w:t>
      </w:r>
      <w:r>
        <w:t>.</w:t>
      </w:r>
    </w:p>
    <w:p w:rsidR="00D93A75" w:rsidRDefault="00D93A75" w:rsidP="000718CE">
      <w:pPr>
        <w:pStyle w:val="ConsPlusNormal"/>
        <w:ind w:firstLine="540"/>
        <w:jc w:val="both"/>
      </w:pPr>
    </w:p>
    <w:p w:rsidR="00D93A75" w:rsidRDefault="00D93A75" w:rsidP="00D93A75">
      <w:pPr>
        <w:pStyle w:val="ConsPlusNormal"/>
        <w:ind w:firstLine="540"/>
        <w:jc w:val="both"/>
      </w:pPr>
      <w:r>
        <w:t>Использование в пунктах приема ставок игрового оборудования, посредством которого в отсутствие работника игорного заведения осуществляется заключение пари</w:t>
      </w:r>
      <w:r w:rsidR="00EB3C5A">
        <w:t>,</w:t>
      </w:r>
      <w:r>
        <w:t xml:space="preserve"> также является основанием для привлечения к административной ответственности по вышеназванной статье.</w:t>
      </w:r>
    </w:p>
    <w:p w:rsidR="00EB3C5A" w:rsidRDefault="00EB3C5A" w:rsidP="00D93A75">
      <w:pPr>
        <w:pStyle w:val="ConsPlusNormal"/>
        <w:ind w:firstLine="540"/>
        <w:jc w:val="both"/>
      </w:pPr>
    </w:p>
    <w:p w:rsidR="00EB3C5A" w:rsidRDefault="00EB3C5A" w:rsidP="00EB3C5A">
      <w:pPr>
        <w:pStyle w:val="ConsPlusNormal"/>
        <w:ind w:firstLine="540"/>
        <w:jc w:val="both"/>
      </w:pPr>
      <w:r>
        <w:t>Большинство «подпольных» игорных заведений используют контрафактное игровое оборудование, возможность выигрыша на котором практически невозможна.</w:t>
      </w:r>
    </w:p>
    <w:p w:rsidR="00D93A75" w:rsidRDefault="00D93A75" w:rsidP="000718CE">
      <w:pPr>
        <w:pStyle w:val="ConsPlusNormal"/>
        <w:ind w:firstLine="540"/>
        <w:jc w:val="both"/>
        <w:rPr>
          <w:i/>
        </w:rPr>
      </w:pPr>
    </w:p>
    <w:p w:rsidR="000718CE" w:rsidRPr="00EB3C5A" w:rsidRDefault="00EB3C5A" w:rsidP="000718CE">
      <w:pPr>
        <w:pStyle w:val="ConsPlusNormal"/>
        <w:ind w:firstLine="540"/>
        <w:jc w:val="both"/>
        <w:rPr>
          <w:b/>
        </w:rPr>
      </w:pPr>
      <w:r w:rsidRPr="00EB3C5A">
        <w:rPr>
          <w:b/>
        </w:rPr>
        <w:t>За  незаконные организацию и проведение азартных игр физические лица подлежат уголовной ответственности по ст. 171.2 Уголовного кодекса РФ.</w:t>
      </w:r>
    </w:p>
    <w:p w:rsidR="00EB3C5A" w:rsidRDefault="00EB3C5A" w:rsidP="000718CE">
      <w:pPr>
        <w:pStyle w:val="ConsPlusNormal"/>
        <w:ind w:firstLine="540"/>
        <w:jc w:val="both"/>
      </w:pPr>
    </w:p>
    <w:p w:rsidR="000718CE" w:rsidRDefault="000718CE" w:rsidP="00071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известных адресах проведения азартных игр в Санкт-Петербурге, можно сообщить:</w:t>
      </w:r>
    </w:p>
    <w:p w:rsidR="000718CE" w:rsidRDefault="000718CE" w:rsidP="000718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МВД России по г. Санкт-Петербургу и Ленинградской области</w:t>
      </w:r>
    </w:p>
    <w:p w:rsidR="000718CE" w:rsidRDefault="000718CE" w:rsidP="000718CE">
      <w:pPr>
        <w:pStyle w:val="a3"/>
        <w:autoSpaceDE w:val="0"/>
        <w:autoSpaceDN w:val="0"/>
        <w:adjustRightInd w:val="0"/>
        <w:spacing w:after="0" w:line="240" w:lineRule="auto"/>
        <w:ind w:left="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Дежурная часть – тел. </w:t>
      </w:r>
      <w:r>
        <w:rPr>
          <w:rFonts w:ascii="Times New Roman" w:hAnsi="Times New Roman" w:cs="Times New Roman"/>
          <w:b/>
          <w:sz w:val="28"/>
          <w:szCs w:val="28"/>
        </w:rPr>
        <w:t>573-24-20</w:t>
      </w:r>
    </w:p>
    <w:p w:rsidR="000718CE" w:rsidRDefault="000718CE" w:rsidP="000718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мониторинговый центр – тел. </w:t>
      </w:r>
      <w:r>
        <w:rPr>
          <w:rFonts w:ascii="Times New Roman" w:hAnsi="Times New Roman" w:cs="Times New Roman"/>
          <w:b/>
          <w:sz w:val="28"/>
          <w:szCs w:val="28"/>
        </w:rPr>
        <w:t>004</w:t>
      </w:r>
    </w:p>
    <w:p w:rsidR="000718CE" w:rsidRDefault="000718CE" w:rsidP="000718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Санкт-Петербурга – электронный почтовый ящик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netgamespb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718CE" w:rsidRDefault="000718CE" w:rsidP="000718CE">
      <w:pPr>
        <w:pStyle w:val="ConsPlusNormal"/>
        <w:ind w:firstLine="540"/>
        <w:jc w:val="both"/>
      </w:pPr>
    </w:p>
    <w:p w:rsidR="000718CE" w:rsidRDefault="000718CE" w:rsidP="000718CE">
      <w:pPr>
        <w:pStyle w:val="ConsPlusNormal"/>
        <w:ind w:firstLine="540"/>
        <w:jc w:val="both"/>
      </w:pPr>
    </w:p>
    <w:sectPr w:rsidR="000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636"/>
    <w:multiLevelType w:val="hybridMultilevel"/>
    <w:tmpl w:val="CF82345A"/>
    <w:lvl w:ilvl="0" w:tplc="E5EAEF1C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43"/>
    <w:rsid w:val="000718CE"/>
    <w:rsid w:val="001A018A"/>
    <w:rsid w:val="007D690D"/>
    <w:rsid w:val="008B2443"/>
    <w:rsid w:val="00994860"/>
    <w:rsid w:val="00D93A75"/>
    <w:rsid w:val="00E271B6"/>
    <w:rsid w:val="00E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CE"/>
    <w:pPr>
      <w:ind w:left="720"/>
      <w:contextualSpacing/>
    </w:pPr>
  </w:style>
  <w:style w:type="paragraph" w:customStyle="1" w:styleId="ConsPlusNormal">
    <w:name w:val="ConsPlusNormal"/>
    <w:rsid w:val="00071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71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CE"/>
    <w:pPr>
      <w:ind w:left="720"/>
      <w:contextualSpacing/>
    </w:pPr>
  </w:style>
  <w:style w:type="paragraph" w:customStyle="1" w:styleId="ConsPlusNormal">
    <w:name w:val="ConsPlusNormal"/>
    <w:rsid w:val="00071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7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3EED1103E74E20AA9149D375B3737D022F207EE81E386CCDB10D06461D37601404BBACB78B9E7ECEr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Бухарина Елена  М.</dc:creator>
  <cp:lastModifiedBy>Бухарина Елена  М.</cp:lastModifiedBy>
  <cp:revision>2</cp:revision>
  <dcterms:created xsi:type="dcterms:W3CDTF">2016-05-17T06:23:00Z</dcterms:created>
  <dcterms:modified xsi:type="dcterms:W3CDTF">2016-05-17T06:23:00Z</dcterms:modified>
</cp:coreProperties>
</file>