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850" w:rsidRDefault="00022850" w:rsidP="00A75B09">
      <w:pPr>
        <w:pStyle w:val="ECHRDecisionBody"/>
        <w:jc w:val="right"/>
      </w:pPr>
      <w:r>
        <w:t>НЕОФИЦИАЛЬНЫЙ ПЕРЕВОД</w:t>
      </w:r>
    </w:p>
    <w:p w:rsidR="00022850" w:rsidRDefault="00022850" w:rsidP="00A75B09">
      <w:pPr>
        <w:pStyle w:val="ECHRDecisionBody"/>
        <w:jc w:val="right"/>
      </w:pPr>
      <w:r>
        <w:t>АУТЕНТИЧНЫЙ ТЕКСТ РАЗМЕЩЕН НА САЙТЕ</w:t>
      </w:r>
    </w:p>
    <w:p w:rsidR="00022850" w:rsidRDefault="00022850" w:rsidP="00A75B09">
      <w:pPr>
        <w:pStyle w:val="ECHRDecisionBody"/>
        <w:jc w:val="right"/>
      </w:pPr>
      <w:r>
        <w:t>ЕВРОПЕЙСКОГО СУДА ПО ПРАВАМ ЧЕЛОВЕКА</w:t>
      </w:r>
    </w:p>
    <w:p w:rsidR="00022850" w:rsidRPr="005857A2" w:rsidRDefault="00022850" w:rsidP="00A75B09">
      <w:pPr>
        <w:pStyle w:val="ECHRDecisionBody"/>
        <w:jc w:val="right"/>
        <w:rPr>
          <w:u w:val="single"/>
        </w:rPr>
      </w:pPr>
      <w:hyperlink r:id="rId7" w:history="1">
        <w:r w:rsidRPr="005857A2">
          <w:rPr>
            <w:rStyle w:val="Hyperlink"/>
            <w:lang w:val="en-US"/>
          </w:rPr>
          <w:t>www</w:t>
        </w:r>
        <w:r w:rsidRPr="005857A2">
          <w:rPr>
            <w:rStyle w:val="Hyperlink"/>
          </w:rPr>
          <w:t>.</w:t>
        </w:r>
        <w:r w:rsidRPr="005857A2">
          <w:rPr>
            <w:rStyle w:val="Hyperlink"/>
            <w:lang w:val="en-US"/>
          </w:rPr>
          <w:t>echr</w:t>
        </w:r>
        <w:r w:rsidRPr="005857A2">
          <w:rPr>
            <w:rStyle w:val="Hyperlink"/>
          </w:rPr>
          <w:t>.</w:t>
        </w:r>
        <w:r w:rsidRPr="005857A2">
          <w:rPr>
            <w:rStyle w:val="Hyperlink"/>
            <w:lang w:val="en-US"/>
          </w:rPr>
          <w:t>coe</w:t>
        </w:r>
        <w:r w:rsidRPr="005857A2">
          <w:rPr>
            <w:rStyle w:val="Hyperlink"/>
          </w:rPr>
          <w:t>.</w:t>
        </w:r>
        <w:r w:rsidRPr="005857A2">
          <w:rPr>
            <w:rStyle w:val="Hyperlink"/>
            <w:lang w:val="en-US"/>
          </w:rPr>
          <w:t>int</w:t>
        </w:r>
      </w:hyperlink>
    </w:p>
    <w:p w:rsidR="00022850" w:rsidRPr="005857A2" w:rsidRDefault="00022850" w:rsidP="00A75B09">
      <w:pPr>
        <w:pStyle w:val="ECHRDecisionBody"/>
        <w:jc w:val="right"/>
      </w:pPr>
      <w:r w:rsidRPr="005857A2">
        <w:t xml:space="preserve">В РАЗДЕЛЕ </w:t>
      </w:r>
      <w:r w:rsidRPr="005857A2">
        <w:rPr>
          <w:lang w:val="en-US"/>
        </w:rPr>
        <w:t>HUDOC</w:t>
      </w:r>
    </w:p>
    <w:p w:rsidR="00022850" w:rsidRPr="006C3683" w:rsidRDefault="00022850" w:rsidP="00A35FD2">
      <w:pPr>
        <w:jc w:val="center"/>
      </w:pPr>
    </w:p>
    <w:p w:rsidR="00022850" w:rsidRPr="006C3683" w:rsidRDefault="00022850" w:rsidP="00A35FD2">
      <w:pPr>
        <w:jc w:val="center"/>
      </w:pPr>
    </w:p>
    <w:p w:rsidR="00022850" w:rsidRPr="00A35FD2" w:rsidRDefault="00022850" w:rsidP="00A35FD2">
      <w:pPr>
        <w:jc w:val="center"/>
      </w:pPr>
      <w:r>
        <w:t>ТРЕТЬЯ СЕКЦИЯ</w:t>
      </w:r>
    </w:p>
    <w:p w:rsidR="00022850" w:rsidRPr="0007533F" w:rsidRDefault="00022850" w:rsidP="00A35FD2">
      <w:pPr>
        <w:jc w:val="center"/>
      </w:pPr>
    </w:p>
    <w:p w:rsidR="00022850" w:rsidRPr="0007533F" w:rsidRDefault="00022850" w:rsidP="00A35FD2">
      <w:pPr>
        <w:jc w:val="center"/>
      </w:pPr>
    </w:p>
    <w:p w:rsidR="00022850" w:rsidRPr="0007533F" w:rsidRDefault="00022850" w:rsidP="00A35FD2">
      <w:pPr>
        <w:jc w:val="center"/>
      </w:pPr>
    </w:p>
    <w:p w:rsidR="00022850" w:rsidRPr="0007533F" w:rsidRDefault="00022850" w:rsidP="00A35FD2">
      <w:pPr>
        <w:jc w:val="center"/>
      </w:pPr>
    </w:p>
    <w:p w:rsidR="00022850" w:rsidRPr="00A35FD2" w:rsidRDefault="00022850" w:rsidP="00A35FD2">
      <w:pPr>
        <w:jc w:val="center"/>
        <w:rPr>
          <w:b/>
        </w:rPr>
      </w:pPr>
      <w:bookmarkStart w:id="0" w:name="To"/>
      <w:r>
        <w:rPr>
          <w:b/>
        </w:rPr>
        <w:t xml:space="preserve">ДЕЛО </w:t>
      </w:r>
      <w:bookmarkEnd w:id="0"/>
      <w:r>
        <w:rPr>
          <w:b/>
        </w:rPr>
        <w:t>«ХАМИДКАРИЕВ против РОССИИ»</w:t>
      </w:r>
    </w:p>
    <w:p w:rsidR="00022850" w:rsidRPr="0007533F" w:rsidRDefault="00022850" w:rsidP="00A35FD2">
      <w:pPr>
        <w:jc w:val="center"/>
      </w:pPr>
    </w:p>
    <w:p w:rsidR="00022850" w:rsidRPr="00A35FD2" w:rsidRDefault="00022850" w:rsidP="00A35FD2">
      <w:pPr>
        <w:jc w:val="center"/>
        <w:rPr>
          <w:i/>
        </w:rPr>
      </w:pPr>
      <w:r>
        <w:rPr>
          <w:i/>
        </w:rPr>
        <w:t>(Жалоба № 42332/14)</w:t>
      </w:r>
    </w:p>
    <w:p w:rsidR="00022850" w:rsidRPr="0007533F" w:rsidRDefault="00022850" w:rsidP="00A35FD2">
      <w:pPr>
        <w:jc w:val="center"/>
      </w:pPr>
    </w:p>
    <w:p w:rsidR="00022850" w:rsidRPr="0007533F" w:rsidRDefault="00022850" w:rsidP="00A35FD2">
      <w:pPr>
        <w:jc w:val="center"/>
      </w:pPr>
    </w:p>
    <w:p w:rsidR="00022850" w:rsidRPr="0007533F" w:rsidRDefault="00022850" w:rsidP="00A35FD2">
      <w:pPr>
        <w:jc w:val="center"/>
      </w:pPr>
    </w:p>
    <w:p w:rsidR="00022850" w:rsidRPr="0007533F" w:rsidRDefault="00022850" w:rsidP="00A35FD2">
      <w:pPr>
        <w:jc w:val="center"/>
      </w:pPr>
    </w:p>
    <w:p w:rsidR="00022850" w:rsidRPr="0007533F" w:rsidRDefault="00022850" w:rsidP="00A35FD2">
      <w:pPr>
        <w:jc w:val="center"/>
      </w:pPr>
    </w:p>
    <w:p w:rsidR="00022850" w:rsidRPr="00A35FD2" w:rsidRDefault="00022850" w:rsidP="00A35FD2">
      <w:pPr>
        <w:jc w:val="center"/>
      </w:pPr>
      <w:r>
        <w:t>ПОСТАНОВЛЕНИЕ</w:t>
      </w:r>
    </w:p>
    <w:p w:rsidR="00022850" w:rsidRPr="0007533F" w:rsidRDefault="00022850" w:rsidP="00A35FD2">
      <w:pPr>
        <w:jc w:val="center"/>
      </w:pPr>
    </w:p>
    <w:p w:rsidR="00022850" w:rsidRPr="0007533F" w:rsidRDefault="00022850" w:rsidP="00A35FD2">
      <w:pPr>
        <w:jc w:val="center"/>
      </w:pPr>
    </w:p>
    <w:p w:rsidR="00022850" w:rsidRPr="0007533F" w:rsidRDefault="00022850" w:rsidP="00A35FD2">
      <w:pPr>
        <w:jc w:val="center"/>
      </w:pPr>
    </w:p>
    <w:p w:rsidR="00022850" w:rsidRPr="0007533F" w:rsidRDefault="00022850" w:rsidP="00A35FD2">
      <w:pPr>
        <w:jc w:val="center"/>
      </w:pPr>
    </w:p>
    <w:p w:rsidR="00022850" w:rsidRPr="0007533F" w:rsidRDefault="00022850" w:rsidP="00A35FD2">
      <w:pPr>
        <w:jc w:val="center"/>
      </w:pPr>
    </w:p>
    <w:p w:rsidR="00022850" w:rsidRPr="0007533F" w:rsidRDefault="00022850" w:rsidP="00A35FD2">
      <w:pPr>
        <w:jc w:val="center"/>
      </w:pPr>
    </w:p>
    <w:p w:rsidR="00022850" w:rsidRPr="00A35FD2" w:rsidRDefault="00022850" w:rsidP="00A35FD2">
      <w:pPr>
        <w:jc w:val="center"/>
      </w:pPr>
      <w:r>
        <w:t>г. СТРАСБУРГ</w:t>
      </w:r>
    </w:p>
    <w:p w:rsidR="00022850" w:rsidRPr="0007533F" w:rsidRDefault="00022850" w:rsidP="00A35FD2">
      <w:pPr>
        <w:jc w:val="center"/>
      </w:pPr>
    </w:p>
    <w:p w:rsidR="00022850" w:rsidRDefault="00022850" w:rsidP="00A35FD2">
      <w:pPr>
        <w:jc w:val="center"/>
      </w:pPr>
      <w:r>
        <w:t>26 января 2017 г.</w:t>
      </w:r>
    </w:p>
    <w:p w:rsidR="00022850" w:rsidRDefault="00022850" w:rsidP="00A35FD2">
      <w:pPr>
        <w:jc w:val="center"/>
      </w:pPr>
    </w:p>
    <w:p w:rsidR="00022850" w:rsidRPr="00A35FD2" w:rsidRDefault="00022850" w:rsidP="00A35FD2">
      <w:pPr>
        <w:jc w:val="center"/>
      </w:pPr>
      <w:r>
        <w:t>вступило в силу 29 мая 2017 г.</w:t>
      </w:r>
    </w:p>
    <w:p w:rsidR="00022850" w:rsidRPr="0007533F" w:rsidRDefault="00022850" w:rsidP="00A35FD2">
      <w:pPr>
        <w:jc w:val="center"/>
      </w:pPr>
    </w:p>
    <w:p w:rsidR="00022850" w:rsidRPr="0007533F" w:rsidRDefault="00022850" w:rsidP="00A35FD2">
      <w:pPr>
        <w:jc w:val="center"/>
      </w:pPr>
    </w:p>
    <w:p w:rsidR="00022850" w:rsidRPr="00A35FD2" w:rsidRDefault="00022850" w:rsidP="00A35FD2">
      <w:pPr>
        <w:jc w:val="left"/>
        <w:rPr>
          <w:i/>
          <w:sz w:val="22"/>
        </w:rPr>
      </w:pPr>
      <w:r>
        <w:rPr>
          <w:i/>
          <w:sz w:val="22"/>
        </w:rPr>
        <w:t>Настоящее постановление вступило в силу в порядке, установленном в пункте 2 статьи 44 Конвенции. Может быть подвергнуто редакционной правке.</w:t>
      </w:r>
    </w:p>
    <w:p w:rsidR="00022850" w:rsidRPr="0007533F" w:rsidRDefault="00022850" w:rsidP="00A35FD2">
      <w:pPr>
        <w:jc w:val="center"/>
        <w:sectPr w:rsidR="00022850" w:rsidRPr="0007533F" w:rsidSect="00060F09">
          <w:headerReference w:type="default" r:id="rId8"/>
          <w:headerReference w:type="first" r:id="rId9"/>
          <w:footerReference w:type="first" r:id="rId10"/>
          <w:footnotePr>
            <w:numRestart w:val="eachSect"/>
          </w:footnotePr>
          <w:pgSz w:w="11906" w:h="16838" w:code="9"/>
          <w:pgMar w:top="2274" w:right="2274" w:bottom="2274" w:left="2274" w:header="1701" w:footer="720" w:gutter="0"/>
          <w:pgNumType w:start="1"/>
          <w:cols w:space="720"/>
          <w:titlePg/>
          <w:docGrid w:linePitch="326"/>
        </w:sectPr>
      </w:pPr>
    </w:p>
    <w:p w:rsidR="00022850" w:rsidRPr="00A35FD2" w:rsidRDefault="00022850" w:rsidP="00A35FD2">
      <w:pPr>
        <w:pStyle w:val="JuCase"/>
        <w:rPr>
          <w:bCs/>
        </w:rPr>
      </w:pPr>
      <w:r>
        <w:t>По делу «Хамидкариев против России»</w:t>
      </w:r>
    </w:p>
    <w:p w:rsidR="00022850" w:rsidRPr="00A35FD2" w:rsidRDefault="00022850" w:rsidP="00A35FD2">
      <w:pPr>
        <w:pStyle w:val="ECHRPara"/>
      </w:pPr>
      <w:r>
        <w:t>Европейский Суд по правам человека (Третья Секция), заседая Палатой, в состав которой вошли:</w:t>
      </w:r>
    </w:p>
    <w:p w:rsidR="00022850" w:rsidRPr="00A35FD2" w:rsidRDefault="00022850" w:rsidP="00A35FD2">
      <w:pPr>
        <w:pStyle w:val="ECHRDecisionBody"/>
      </w:pPr>
      <w:r>
        <w:tab/>
        <w:t>Луис Лопес Герра,</w:t>
      </w:r>
      <w:r>
        <w:rPr>
          <w:i/>
        </w:rPr>
        <w:t xml:space="preserve"> Председатель,</w:t>
      </w:r>
      <w:r>
        <w:rPr>
          <w:i/>
        </w:rPr>
        <w:br/>
      </w:r>
      <w:r>
        <w:tab/>
        <w:t>Хелена Ядерблом,</w:t>
      </w:r>
      <w:r>
        <w:rPr>
          <w:i/>
        </w:rPr>
        <w:br/>
      </w:r>
      <w:r>
        <w:tab/>
        <w:t>Хелен Келлер,</w:t>
      </w:r>
      <w:r>
        <w:rPr>
          <w:i/>
        </w:rPr>
        <w:br/>
      </w:r>
      <w:r>
        <w:tab/>
        <w:t>Дмитрий Дедов,</w:t>
      </w:r>
      <w:r>
        <w:rPr>
          <w:i/>
        </w:rPr>
        <w:br/>
      </w:r>
      <w:r>
        <w:tab/>
        <w:t>Пере Пастор Виланова,</w:t>
      </w:r>
      <w:r>
        <w:rPr>
          <w:i/>
        </w:rPr>
        <w:br/>
      </w:r>
      <w:r>
        <w:tab/>
        <w:t>Алина Полачкова,</w:t>
      </w:r>
      <w:r>
        <w:rPr>
          <w:i/>
        </w:rPr>
        <w:br/>
      </w:r>
      <w:r>
        <w:tab/>
        <w:t>Георгиос А. Сергидес,</w:t>
      </w:r>
      <w:r>
        <w:rPr>
          <w:i/>
        </w:rPr>
        <w:t xml:space="preserve"> судьи,</w:t>
      </w:r>
      <w:r>
        <w:rPr>
          <w:i/>
        </w:rPr>
        <w:br/>
      </w:r>
      <w:r>
        <w:t xml:space="preserve">и Фатош Араци, </w:t>
      </w:r>
      <w:r>
        <w:rPr>
          <w:i/>
        </w:rPr>
        <w:t>Заместитель</w:t>
      </w:r>
      <w:r>
        <w:t xml:space="preserve"> </w:t>
      </w:r>
      <w:r>
        <w:rPr>
          <w:i/>
        </w:rPr>
        <w:t xml:space="preserve">Секретаря </w:t>
      </w:r>
      <w:r>
        <w:rPr>
          <w:i/>
          <w:iCs/>
        </w:rPr>
        <w:t>Секции</w:t>
      </w:r>
      <w:r>
        <w:rPr>
          <w:i/>
        </w:rPr>
        <w:t>,</w:t>
      </w:r>
    </w:p>
    <w:p w:rsidR="00022850" w:rsidRPr="00A35FD2" w:rsidRDefault="00022850" w:rsidP="00A35FD2">
      <w:pPr>
        <w:pStyle w:val="ECHRPara"/>
      </w:pPr>
      <w:r>
        <w:t>проведя 5 января 2017 г. совещание по делу за закрытыми дверями,</w:t>
      </w:r>
    </w:p>
    <w:p w:rsidR="00022850" w:rsidRPr="00A35FD2" w:rsidRDefault="00022850" w:rsidP="00A35FD2">
      <w:pPr>
        <w:pStyle w:val="ECHRPara"/>
      </w:pPr>
      <w:r>
        <w:t>в указанный день вынес следующее постановление:</w:t>
      </w:r>
    </w:p>
    <w:p w:rsidR="00022850" w:rsidRPr="00A35FD2" w:rsidRDefault="00022850" w:rsidP="00A35FD2">
      <w:pPr>
        <w:pStyle w:val="ECHRTitle1"/>
      </w:pPr>
      <w:r>
        <w:t>ПРОЦЕДУРА</w:t>
      </w:r>
    </w:p>
    <w:bookmarkStart w:id="1" w:name="doi"/>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w:t>
      </w:r>
      <w:r w:rsidRPr="00A35FD2">
        <w:fldChar w:fldCharType="end"/>
      </w:r>
      <w:bookmarkEnd w:id="1"/>
      <w:r>
        <w:t xml:space="preserve">.  Дело было возбуждено по жалобе (№ 42332/14) против Российской Федерации, поступившей в Европейский Суд согласно статье 34 Конвенции о защите прав человека и основных свобод </w:t>
      </w:r>
      <w:r>
        <w:br/>
        <w:t xml:space="preserve">(далее — «Конвенция») от гражданина Республики Узбекистан Мирсобира Мирсобитовича Хамидкариева (далее — «заявитель») </w:t>
      </w:r>
      <w:r>
        <w:br/>
        <w:t>10 июня 2014 г.</w:t>
      </w:r>
    </w:p>
    <w:p w:rsidR="00022850" w:rsidRPr="00A35FD2" w:rsidRDefault="00022850" w:rsidP="00A35FD2">
      <w:pPr>
        <w:pStyle w:val="ECHRPara"/>
      </w:pPr>
      <w:fldSimple w:instr=" SEQ level0 \*arabic ">
        <w:r>
          <w:rPr>
            <w:noProof/>
          </w:rPr>
          <w:t>2</w:t>
        </w:r>
      </w:fldSimple>
      <w:r>
        <w:t xml:space="preserve">.  Интересы заявителя представлял И. Васильев, адвокат, практикующий в г. Москве. Власти Российской Федерации </w:t>
      </w:r>
      <w:r>
        <w:br/>
        <w:t xml:space="preserve">(далее — «Власти») были представлены в Суде Уполномоченным Российской Федерации при Европейском Суде по правам человека </w:t>
      </w:r>
      <w:r>
        <w:br/>
        <w:t>Г. О. Матюшкиным.</w:t>
      </w:r>
    </w:p>
    <w:p w:rsidR="00022850" w:rsidRPr="00A35FD2" w:rsidRDefault="00022850" w:rsidP="00A35FD2">
      <w:pPr>
        <w:pStyle w:val="ECHRPara"/>
      </w:pPr>
      <w:fldSimple w:instr=" SEQ level0 \*arabic ">
        <w:r>
          <w:rPr>
            <w:noProof/>
          </w:rPr>
          <w:t>3</w:t>
        </w:r>
      </w:fldSimple>
      <w:r>
        <w:t>.  Представитель заявителя утверждал, что 9 июня 2014 г. заявитель был похищен в Москве с целью недобровольного перемещения в Узбекистан несмотря на то, что ему угрожала реальная опасность подвергнуться жестокому обращению в данной стране. На более позднем этапе разбирательства выяснилось, что заявитель был помещён под стражу в Узбекистане.</w:t>
      </w:r>
    </w:p>
    <w:bookmarkStart w:id="2" w:name="R39"/>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4</w:t>
      </w:r>
      <w:r w:rsidRPr="00A35FD2">
        <w:fldChar w:fldCharType="end"/>
      </w:r>
      <w:bookmarkEnd w:id="2"/>
      <w:r>
        <w:t>.  10 июня 2014 г. исполняющий обязанности Председателя Секции, в которую было передано дело, указал Властям государства-ответчика в соответствии с правилом 39 Регламента Европейского Суда, что заявитель не должен быть выдан, выслан или иным образом удалён с территории России против его воли на территорию Узбекистана или какой-либо другой страны на период разбирательства в Европейском Суде. Исполняющий обязанности Председателя также отметил, что Власти должны в соответствии с пунктом 1 правила 39 Регламента Европейского Суда создать надлежащий механизм превентивного и защитного характера, обеспечивающий незамедлительную и эффективную защиту заявителя от незаконной и произвольной высылки с территории Российской Федерации и вывод заявителя из-под юрисдикции российских судов. В соответствии с подпунктом «a» пункта 2 правила 54 Регламента Европейского Суда у Властей была запрошена информация об обстоятельствах дела. Властям также было предложено предоставить копии всех документов, относящихся к уголовному делу, возбуждённому по факту похищения заявителя 9 июня 2014 г. Кроме того, было принято решение о рассмотрении настоящего дела в приоритетном порядке в соответствии с правилом 41 Регламента Европейского Суда.</w:t>
      </w:r>
    </w:p>
    <w:bookmarkStart w:id="3" w:name="comq"/>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5</w:t>
      </w:r>
      <w:r w:rsidRPr="00A35FD2">
        <w:fldChar w:fldCharType="end"/>
      </w:r>
      <w:bookmarkEnd w:id="3"/>
      <w:r>
        <w:t>.  27 августа 2014 г. жалоба была коммуницирована Властям. Властям было предложено представить подробную фактическую информацию, относящуюся к жалобе. В частности, им было предложено представить списки пассажиров всех авиарейсов из России в Узбекистан с 9 по 12 июня 2014 г. Кроме того, Властям было предложено представить копии всех листов уголовного дела, возбуждённого по факту похищения заявителя, а также документы, касающиеся доследственной проверки.</w:t>
      </w:r>
    </w:p>
    <w:bookmarkStart w:id="4" w:name="recomq"/>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6</w:t>
      </w:r>
      <w:r w:rsidRPr="00A35FD2">
        <w:fldChar w:fldCharType="end"/>
      </w:r>
      <w:bookmarkEnd w:id="4"/>
      <w:r>
        <w:t>.  22 апреля 2015 г. Председатель Секции, в которую было передано дело, принял решение направить Властям в соответствии с подпунктом «с» пункта 2 правила 54 Регламента Европейского Суда вопрос о том, соблюли ли они своё обязательство по статье 38 Конвенции, отказавшись предоставить в полном объёме материалы, запрошенные Европейском Судом в связи с похищением заявителя и его вывозом в Узбекистан, и указать уважительные причины непредставления отсутствующих документов. Данный запрос был направлен Властям письмом от 24 апреля 2015 г.</w:t>
      </w:r>
    </w:p>
    <w:p w:rsidR="00022850" w:rsidRPr="00A35FD2" w:rsidRDefault="00022850" w:rsidP="00A35FD2">
      <w:pPr>
        <w:pStyle w:val="ECHRTitle1"/>
      </w:pPr>
      <w:r>
        <w:t>ФАКТЫ</w:t>
      </w:r>
    </w:p>
    <w:p w:rsidR="00022850" w:rsidRPr="00A35FD2" w:rsidRDefault="00022850" w:rsidP="00A35FD2">
      <w:pPr>
        <w:pStyle w:val="ECHRHeading1"/>
      </w:pPr>
      <w:r>
        <w:t>I.  ОБСТОЯТЕЛЬСТВА ДЕЛА</w:t>
      </w:r>
    </w:p>
    <w:p w:rsidR="00022850" w:rsidRPr="00A35FD2" w:rsidRDefault="00022850" w:rsidP="00A35FD2">
      <w:pPr>
        <w:pStyle w:val="ECHRPara"/>
      </w:pPr>
      <w:fldSimple w:instr=" SEQ level0 \*arabic ">
        <w:r>
          <w:rPr>
            <w:noProof/>
          </w:rPr>
          <w:t>7</w:t>
        </w:r>
      </w:fldSimple>
      <w:r>
        <w:t>.  Заявитель родился в 1978 г. В настоящее время он отбывает наказание в тюрьме в Узбекистане.</w:t>
      </w:r>
    </w:p>
    <w:p w:rsidR="00022850" w:rsidRPr="00A35FD2" w:rsidRDefault="00022850" w:rsidP="00A35FD2">
      <w:pPr>
        <w:pStyle w:val="ECHRPara"/>
      </w:pPr>
      <w:fldSimple w:instr=" SEQ level0 \*arabic ">
        <w:r>
          <w:rPr>
            <w:noProof/>
          </w:rPr>
          <w:t>8</w:t>
        </w:r>
      </w:fldSimple>
      <w:r>
        <w:t>.  Информация, представленная представителем заявителя и Властями в отношении обстоятельств дела, является скудной и противоречивой. Содержание материалов, находящихся в распоряжении Европейского Суда, изложено ниже.</w:t>
      </w:r>
    </w:p>
    <w:p w:rsidR="00022850" w:rsidRPr="00A35FD2" w:rsidRDefault="00022850" w:rsidP="00A35FD2">
      <w:pPr>
        <w:pStyle w:val="ECHRHeading2"/>
      </w:pPr>
      <w:r>
        <w:t>A.  Информация, представленная представителем заявителя</w:t>
      </w:r>
    </w:p>
    <w:p w:rsidR="00022850" w:rsidRPr="00A35FD2" w:rsidRDefault="00022850" w:rsidP="00A35FD2">
      <w:pPr>
        <w:pStyle w:val="ECHRPara"/>
      </w:pPr>
      <w:fldSimple w:instr=" SEQ level0 \*arabic ">
        <w:r>
          <w:rPr>
            <w:noProof/>
          </w:rPr>
          <w:t>9</w:t>
        </w:r>
      </w:fldSimple>
      <w:r>
        <w:t>.  Ниже представлено изложение событий на основании письменных замечаний, представленных в Европейский Суд представителем заявителя.</w:t>
      </w:r>
    </w:p>
    <w:p w:rsidR="00022850" w:rsidRPr="00A35FD2" w:rsidRDefault="00022850" w:rsidP="00A35FD2">
      <w:pPr>
        <w:pStyle w:val="ECHRHeading3"/>
      </w:pPr>
      <w:r>
        <w:t>1.  Общие сведения</w:t>
      </w:r>
    </w:p>
    <w:p w:rsidR="00022850" w:rsidRPr="00A35FD2" w:rsidRDefault="00022850" w:rsidP="00A35FD2">
      <w:pPr>
        <w:pStyle w:val="ECHRPara"/>
      </w:pPr>
      <w:fldSimple w:instr=" SEQ level0 \*arabic ">
        <w:r>
          <w:rPr>
            <w:noProof/>
          </w:rPr>
          <w:t>10</w:t>
        </w:r>
      </w:fldSimple>
      <w:r>
        <w:t xml:space="preserve">.  В период проживания в Узбекистане заявитель был другом бывшего возлюбленного Гульнары Каримовой, одной из дочерей президента Узбекистана Ислама Каримова. В какой-то момент у </w:t>
      </w:r>
      <w:r>
        <w:br/>
        <w:t>г-жи Каримовой произошла размолвка с друзьями её бывшего возлюбленного. В попытке спастись от политического преследования 26 декабря 2010 г. заявитель переехал в Россию. Он проживал в Москве с сожительницей И. и их ребёнком.</w:t>
      </w:r>
    </w:p>
    <w:bookmarkStart w:id="5" w:name="relogious"/>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11</w:t>
      </w:r>
      <w:r w:rsidRPr="00A35FD2">
        <w:fldChar w:fldCharType="end"/>
      </w:r>
      <w:bookmarkEnd w:id="5"/>
      <w:r>
        <w:t>.  В 2011 г. узбекские власти заочно предъявили заявителю обвинение в совершении преступлений, связанных с религиозным экстремизмом, ввиду его предполагаемой причастности к созданию в 2009 г. джихадистской организации, выдали ордер на его арест и объявили его в международный розыск.</w:t>
      </w:r>
    </w:p>
    <w:p w:rsidR="00022850" w:rsidRPr="00A35FD2" w:rsidRDefault="00022850" w:rsidP="00A35FD2">
      <w:pPr>
        <w:pStyle w:val="ECHRPara"/>
      </w:pPr>
      <w:fldSimple w:instr=" SEQ level0 \*arabic ">
        <w:r>
          <w:rPr>
            <w:noProof/>
          </w:rPr>
          <w:t>12</w:t>
        </w:r>
      </w:fldSimple>
      <w:r>
        <w:t>.  10 июля 2013 г. заявитель был задержан в Москве на основании вынесенного в Узбекистане постановления об объявлении его в розыск.</w:t>
      </w:r>
    </w:p>
    <w:p w:rsidR="00022850" w:rsidRPr="00A35FD2" w:rsidRDefault="00022850" w:rsidP="00A35FD2">
      <w:pPr>
        <w:pStyle w:val="ECHRPara"/>
      </w:pPr>
      <w:fldSimple w:instr=" SEQ level0 \*arabic ">
        <w:r>
          <w:rPr>
            <w:noProof/>
          </w:rPr>
          <w:t>13</w:t>
        </w:r>
      </w:fldSimple>
      <w:r>
        <w:t>.  12 июля 2013 г. Головинский районный суд г. Москвы постановил поместить заявителя под стражу до экстрадиции.</w:t>
      </w:r>
    </w:p>
    <w:bookmarkStart w:id="6" w:name="noextrd"/>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14</w:t>
      </w:r>
      <w:r w:rsidRPr="00A35FD2">
        <w:fldChar w:fldCharType="end"/>
      </w:r>
      <w:bookmarkEnd w:id="6"/>
      <w:r>
        <w:t xml:space="preserve">.  9 августа 2013 г. Головинская межрайонная прокуратура </w:t>
      </w:r>
      <w:r>
        <w:br/>
        <w:t>г. Москвы потребовала освободить заявителя из-под стражи на том основании, что узбекские власти не обратились с официальным требованием о выдаче, и что преступления, в совершении которых он обвинялся, не являлись преступлениями в соответствии с российским законодательством. Прокуратура также отметила, что заявитель не мог создать указанную джихадистскую организацию в 2009 г., поскольку эта организация была запрещена Верховным Судом Российской Федерации в 2003 г. После этого заявитель был освобождён.</w:t>
      </w:r>
    </w:p>
    <w:p w:rsidR="00022850" w:rsidRPr="00A35FD2" w:rsidRDefault="00022850" w:rsidP="00A35FD2">
      <w:pPr>
        <w:pStyle w:val="ECHRPara"/>
      </w:pPr>
      <w:fldSimple w:instr=" SEQ level0 \*arabic ">
        <w:r>
          <w:rPr>
            <w:noProof/>
          </w:rPr>
          <w:t>15</w:t>
        </w:r>
      </w:fldSimple>
      <w:r>
        <w:t xml:space="preserve">.  После освобождения заявитель продолжил жить в Москве. В какой-то момент он обратился с ходатайством о признании беженцем, ссылаясь на </w:t>
      </w:r>
      <w:r w:rsidRPr="00B20422">
        <w:t xml:space="preserve">угрожавшую ему опасность подвергнуться </w:t>
      </w:r>
      <w:r>
        <w:t>жестокому обращению в Узбекистане.</w:t>
      </w:r>
    </w:p>
    <w:bookmarkStart w:id="7" w:name="fms"/>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16</w:t>
      </w:r>
      <w:r w:rsidRPr="00A35FD2">
        <w:fldChar w:fldCharType="end"/>
      </w:r>
      <w:bookmarkEnd w:id="7"/>
      <w:r>
        <w:t xml:space="preserve">.  8 ноября 2013 г. Управление Федеральной миграционной службы по г. Москве (далее — «УФМС по г. Москве») отклонило доводы </w:t>
      </w:r>
      <w:r w:rsidRPr="00B20422">
        <w:t>заявителя о грозившей ему опасности подвергнуться жестокому</w:t>
      </w:r>
      <w:r>
        <w:t xml:space="preserve"> обращению в Узбекистане как необоснованные и отказалось удовлетворить ходатайство заявителя о признании беженцем. Заявитель обжаловал данное решение в суде.</w:t>
      </w:r>
    </w:p>
    <w:bookmarkStart w:id="8" w:name="May122014"/>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17</w:t>
      </w:r>
      <w:r w:rsidRPr="00A35FD2">
        <w:fldChar w:fldCharType="end"/>
      </w:r>
      <w:bookmarkEnd w:id="8"/>
      <w:r>
        <w:t>.  12 мая 2014 г. Замоскворецкий районный суд г. Москвы удовлетворил жалобу заявителя, отменил отказ УФМС по г. Москве и обязал его признать заявителя беженцем.</w:t>
      </w:r>
    </w:p>
    <w:bookmarkStart w:id="9" w:name="passport"/>
    <w:bookmarkStart w:id="10" w:name="passport1"/>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18</w:t>
      </w:r>
      <w:r w:rsidRPr="00A35FD2">
        <w:fldChar w:fldCharType="end"/>
      </w:r>
      <w:bookmarkEnd w:id="9"/>
      <w:bookmarkEnd w:id="10"/>
      <w:r>
        <w:t>.  Паспорт заявителя остался в УФМС по г. Москве в деле, связанном с его ходатайством о признании беженцем.</w:t>
      </w:r>
    </w:p>
    <w:p w:rsidR="00022850" w:rsidRPr="00A35FD2" w:rsidRDefault="00022850" w:rsidP="00A35FD2">
      <w:pPr>
        <w:pStyle w:val="ECHRPara"/>
      </w:pPr>
      <w:fldSimple w:instr=" SEQ level0 \*arabic ">
        <w:r>
          <w:rPr>
            <w:noProof/>
          </w:rPr>
          <w:t>19</w:t>
        </w:r>
      </w:fldSimple>
      <w:r>
        <w:t>.  Поскольку в установленный срок жалобы на решение от 12 мая 2014 г. не поступило, оно вступило в силу.</w:t>
      </w:r>
    </w:p>
    <w:p w:rsidR="00022850" w:rsidRPr="00A35FD2" w:rsidRDefault="00022850" w:rsidP="00A35FD2">
      <w:pPr>
        <w:pStyle w:val="ECHRHeading3"/>
      </w:pPr>
      <w:r>
        <w:t>2.  Исчезновение заявителя</w:t>
      </w:r>
    </w:p>
    <w:p w:rsidR="00022850" w:rsidRPr="00A35FD2" w:rsidRDefault="00022850" w:rsidP="00A35FD2">
      <w:pPr>
        <w:pStyle w:val="ECHRPara"/>
      </w:pPr>
      <w:fldSimple w:instr=" SEQ level0 \*arabic ">
        <w:r>
          <w:rPr>
            <w:noProof/>
          </w:rPr>
          <w:t>20</w:t>
        </w:r>
      </w:fldSimple>
      <w:r>
        <w:t xml:space="preserve">.  Вечером 9 июня 2014 г., когда заявитель со своей семьёй были в гостях у друга, г-на Т., ребёнку заявителя стало плохо. Заявитель и г-жа И. решили отвезти его в больницу, и заявитель вызвал такси. Приехала «Лада Приора» серебристого цвета. Г-н Т. хотел поехать с заявителем и г-жой И., но водитель «Лады Приоры» сказал ему, что машина заказана только на двух взрослых пассажиров. Заявитель, </w:t>
      </w:r>
      <w:r>
        <w:br/>
        <w:t>г-жа И. и ребёнок сели в машину.</w:t>
      </w:r>
    </w:p>
    <w:bookmarkStart w:id="11" w:name="MsIevents"/>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21</w:t>
      </w:r>
      <w:r w:rsidRPr="00A35FD2">
        <w:fldChar w:fldCharType="end"/>
      </w:r>
      <w:bookmarkEnd w:id="11"/>
      <w:r>
        <w:t>.  По дороге в больницу, примерно в 19:20, г-жа И. решила остановить машину около аптеки в центре Москвы. Она вышла из такси вместе с ребёнком, а заявитель остался ждать их в машине. Когда г-жа И. вышла из аптеки, она увидела, что такси уехало. Некая женщина сказала г-же И., что видела, как в припаркованную машину сели двое мужчин, после чего машина уехала.</w:t>
      </w:r>
    </w:p>
    <w:p w:rsidR="00022850" w:rsidRPr="00A35FD2" w:rsidRDefault="00022850" w:rsidP="00A35FD2">
      <w:pPr>
        <w:pStyle w:val="ECHRPara"/>
      </w:pPr>
      <w:fldSimple w:instr=" SEQ level0 \*arabic ">
        <w:r>
          <w:rPr>
            <w:noProof/>
          </w:rPr>
          <w:t>22</w:t>
        </w:r>
      </w:fldSimple>
      <w:r>
        <w:t>.  Г-жа И. попыталась позвонить заявителю, но его телефон был выключен. После этого она позвонила г-ну Т.</w:t>
      </w:r>
    </w:p>
    <w:bookmarkStart w:id="12" w:name="TimurZakhar1"/>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23</w:t>
      </w:r>
      <w:r w:rsidRPr="00A35FD2">
        <w:fldChar w:fldCharType="end"/>
      </w:r>
      <w:bookmarkEnd w:id="12"/>
      <w:r>
        <w:t>.  Вскоре после этого о похищении заявителя был уведомлен представитель заявителя. В тот же день (9 июня 2014 г.) он обратился в пограничные органы Федеральной службы безопасности Российской Федерации (далее — «ФСБ») с просьбой предотвратить недобровольное перемещение заявителя с территории Российской Федерации. По утверждению представителя заявителя, он подозревал, что к похищению причастны два сотрудника ФСБ, которые представились как «Тимур» и «Захар» и которые проявляли интерес к заявителю в 2011 году. Тем не менее, он не упомянул этих людей в письмах, направленных в пограничные органы ФСБ.</w:t>
      </w:r>
    </w:p>
    <w:p w:rsidR="00022850" w:rsidRPr="00A35FD2" w:rsidRDefault="00022850" w:rsidP="00A35FD2">
      <w:pPr>
        <w:pStyle w:val="ECHRHeading3"/>
      </w:pPr>
      <w:r>
        <w:t>3.  Появление заявителя в Узбекистане</w:t>
      </w:r>
    </w:p>
    <w:bookmarkStart w:id="13" w:name="notification"/>
    <w:bookmarkStart w:id="14" w:name="notificationUzbek"/>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24</w:t>
      </w:r>
      <w:r w:rsidRPr="00A35FD2">
        <w:fldChar w:fldCharType="end"/>
      </w:r>
      <w:bookmarkEnd w:id="13"/>
      <w:bookmarkEnd w:id="14"/>
      <w:r>
        <w:t xml:space="preserve">.  18 июня 2014 г. следственное управление Министерства внутренних дел Узбекистана уведомило отца заявителя о том, что </w:t>
      </w:r>
      <w:r>
        <w:br/>
        <w:t xml:space="preserve">17 июня 2014 г. заявитель был задержан и помещён под стражу. </w:t>
      </w:r>
      <w:r>
        <w:br/>
        <w:t>25 июня 2015 г. представитель заявителя переслал копию данного уведомления в Европейский Суд.</w:t>
      </w:r>
    </w:p>
    <w:p w:rsidR="00022850" w:rsidRPr="00A35FD2" w:rsidRDefault="00022850" w:rsidP="00A35FD2">
      <w:pPr>
        <w:pStyle w:val="ECHRPara"/>
      </w:pPr>
      <w:fldSimple w:instr=" SEQ level0 \*arabic ">
        <w:r>
          <w:rPr>
            <w:noProof/>
          </w:rPr>
          <w:t>25</w:t>
        </w:r>
      </w:fldSimple>
      <w:r>
        <w:t>.  Уголовное дело в отношении заявителя было передано на рассмотрение в Ташкентский городской суд. Ему был назначен бесплатный адвокат.</w:t>
      </w:r>
    </w:p>
    <w:p w:rsidR="00022850" w:rsidRPr="00A35FD2" w:rsidRDefault="00022850" w:rsidP="00A35FD2">
      <w:pPr>
        <w:pStyle w:val="ECHRHeading3"/>
      </w:pPr>
      <w:r>
        <w:t>4.  Информация, собранная представителем заявителя в Ташкенте</w:t>
      </w:r>
    </w:p>
    <w:bookmarkStart w:id="15" w:name="incomm0"/>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26</w:t>
      </w:r>
      <w:r w:rsidRPr="00A35FD2">
        <w:fldChar w:fldCharType="end"/>
      </w:r>
      <w:bookmarkEnd w:id="15"/>
      <w:r>
        <w:t xml:space="preserve">.  В конце октября 2014 г. представитель заявителя г-н Васильев посетил Ташкент. Он выяснил, что заявителя содержали без связи с внешним миром в следственном изоляторе в Ташкенте. </w:t>
      </w:r>
      <w:r>
        <w:br/>
        <w:t>Г-ну Васильеву неоднократно отказывали в предоставлении доступа к заявителю.</w:t>
      </w:r>
    </w:p>
    <w:p w:rsidR="00022850" w:rsidRPr="00A35FD2" w:rsidRDefault="00022850" w:rsidP="00A35FD2">
      <w:pPr>
        <w:pStyle w:val="ECHRHeading4"/>
      </w:pPr>
      <w:r>
        <w:t>(а)  Информация, в устной форме переданная г-ну Васильеву заявителем</w:t>
      </w:r>
    </w:p>
    <w:bookmarkStart w:id="16" w:name="l74"/>
    <w:bookmarkStart w:id="17" w:name="representative"/>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27</w:t>
      </w:r>
      <w:r w:rsidRPr="00A35FD2">
        <w:fldChar w:fldCharType="end"/>
      </w:r>
      <w:bookmarkEnd w:id="16"/>
      <w:bookmarkEnd w:id="17"/>
      <w:r>
        <w:t>.  Г-н Васильев присутствовал на трёх судебных заседаниях Ташкентского городского суда 31 октября, а также 3 и 4 ноября 2014 г. 31 октября и 3 ноября 2014 г. судья разрешил г-ну Васильеву поговорить с заявителем. В ходе этих разговоров заявитель находился в клетке в зале суда в окружении охранников. Представитель заявителя представил описание заявителем событий 9 июня 2014 г., в устной форме переданное ему 31 октября и 3 ноября 2014 г., следующим образом.</w:t>
      </w:r>
    </w:p>
    <w:p w:rsidR="00022850" w:rsidRPr="00A35FD2" w:rsidRDefault="00022850" w:rsidP="00A35FD2">
      <w:pPr>
        <w:pStyle w:val="ECHRPara"/>
      </w:pPr>
      <w:fldSimple w:instr=" SEQ level0 \*arabic ">
        <w:r>
          <w:rPr>
            <w:noProof/>
          </w:rPr>
          <w:t>28</w:t>
        </w:r>
      </w:fldSimple>
      <w:r>
        <w:t>.  9 июня 2014 г. в 19:00 заявитель был похищен двумя сотрудниками ФСБ. Во время похищения они надели на голову заявителя мешок. Затем они отвезли заявителя в некий дом, связали его и сняли с головы мешок. Заявитель узнал этих двух мужчин — ими оказались сотрудники ФСБ «Тимур» и «Захар», с которыми он до этого встречался в ноябре 2011 г. Они избили заявителя и держали его в этом доме до следующего дня.</w:t>
      </w:r>
    </w:p>
    <w:p w:rsidR="00022850" w:rsidRPr="00A35FD2" w:rsidRDefault="00022850" w:rsidP="00A35FD2">
      <w:pPr>
        <w:pStyle w:val="ECHRPara"/>
      </w:pPr>
      <w:fldSimple w:instr=" SEQ level0 \*arabic ">
        <w:r>
          <w:rPr>
            <w:noProof/>
          </w:rPr>
          <w:t>29</w:t>
        </w:r>
      </w:fldSimple>
      <w:r>
        <w:t>.  10 июня 2014 г. указанные сотрудники ФСБ отвезли заявителя на взлётно-посадочную полосу одного из аэропортов Москвы без прохождения пограничного или паспортного контроля, поскольку паспорт заявителя остался в УФМС по г. Москве. Сотрудники ФСБ передали заявителя узбекским силовикам около трапа самолёта, направлявшегося в Ташкент.</w:t>
      </w:r>
    </w:p>
    <w:bookmarkStart w:id="18" w:name="representative1"/>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30</w:t>
      </w:r>
      <w:r w:rsidRPr="00A35FD2">
        <w:fldChar w:fldCharType="end"/>
      </w:r>
      <w:bookmarkEnd w:id="18"/>
      <w:r>
        <w:t>.  По прибытии в Узбекистан заявитель был задержан Главным следственным управлением Министерства внутренних дел Узбекистана по подозрению в совершении преступлений, связанных с религиозным экстремизмом. На протяжении двухмесячного содержания под стражей сотрудники узбекских правоохранительных органов подвергали заявителя пыткам и другому жестокому обращению, чтобы принудить его дать самоизобличительные показания. Заявителя привязывали вниз головой к решётке, прикреплённой к стене, и подвергали систематическим избиениям. Сотрудники сломали заявителю два ребра и выбили семь зубов.</w:t>
      </w:r>
    </w:p>
    <w:p w:rsidR="00022850" w:rsidRPr="00A35FD2" w:rsidRDefault="00022850" w:rsidP="00A35FD2">
      <w:pPr>
        <w:pStyle w:val="ECHRHeading4"/>
      </w:pPr>
      <w:r>
        <w:t>(б)  Информация, предоставленная г-жой И.</w:t>
      </w:r>
    </w:p>
    <w:p w:rsidR="00022850" w:rsidRPr="00A35FD2" w:rsidRDefault="00022850" w:rsidP="00A35FD2">
      <w:pPr>
        <w:pStyle w:val="ECHRPara"/>
      </w:pPr>
      <w:fldSimple w:instr=" SEQ level0 \*arabic ">
        <w:r>
          <w:rPr>
            <w:noProof/>
          </w:rPr>
          <w:t>31</w:t>
        </w:r>
      </w:fldSimple>
      <w:r>
        <w:t>.  4 ноября 2014 г. представитель заявителя поговорил с г-жой И.</w:t>
      </w:r>
    </w:p>
    <w:p w:rsidR="00022850" w:rsidRPr="00A35FD2" w:rsidRDefault="00022850" w:rsidP="00A35FD2">
      <w:pPr>
        <w:pStyle w:val="ECHRPara"/>
      </w:pPr>
      <w:fldSimple w:instr=" SEQ level0 \*arabic ">
        <w:r>
          <w:rPr>
            <w:noProof/>
          </w:rPr>
          <w:t>32</w:t>
        </w:r>
      </w:fldSimple>
      <w:r>
        <w:t>.  Г-жа И. заявила, что 3 мая 2011 г. в их квартиру пришёл сотрудник ФСБ по имени «Захар», а также несколько сотрудников полиции, искавшие заявителя, но его не было дома.</w:t>
      </w:r>
    </w:p>
    <w:p w:rsidR="00022850" w:rsidRPr="00A35FD2" w:rsidRDefault="00022850" w:rsidP="00A35FD2">
      <w:pPr>
        <w:pStyle w:val="ECHRPara"/>
      </w:pPr>
      <w:fldSimple w:instr=" SEQ level0 \*arabic ">
        <w:r>
          <w:rPr>
            <w:noProof/>
          </w:rPr>
          <w:t>33</w:t>
        </w:r>
      </w:fldSimple>
      <w:r>
        <w:t>.  В ноябре 2011 «Захар» и ещё один сотрудник ФСБ по имени «Тимур» допросили г-жу И. по поводу заявителя и его религиозных взглядов и практик.</w:t>
      </w:r>
    </w:p>
    <w:bookmarkStart w:id="19" w:name="Timur"/>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34</w:t>
      </w:r>
      <w:r w:rsidRPr="00A35FD2">
        <w:fldChar w:fldCharType="end"/>
      </w:r>
      <w:bookmarkEnd w:id="19"/>
      <w:r>
        <w:t xml:space="preserve">.  После похищения заявителя 10 июня 2014 г. г-жа И. позвонила «Тимуру» по мобильному телефону и спросила его о своём сожителе. «Тимур» ответил, что больше не работает на «эту контору» (ФСБ). </w:t>
      </w:r>
      <w:r>
        <w:br/>
        <w:t>Г-жа И. также пыталась дозвониться до «Захара», но тот не снял трубку.</w:t>
      </w:r>
    </w:p>
    <w:p w:rsidR="00022850" w:rsidRPr="00A35FD2" w:rsidRDefault="00022850" w:rsidP="00A35FD2">
      <w:pPr>
        <w:pStyle w:val="ECHRPara"/>
      </w:pPr>
      <w:fldSimple w:instr=" SEQ level0 \*arabic ">
        <w:r>
          <w:rPr>
            <w:noProof/>
          </w:rPr>
          <w:t>35</w:t>
        </w:r>
      </w:fldSimple>
      <w:r>
        <w:t>.  13 июня 2014 г. г-жа И. прилетела в Ташкент вместе с сыном и со своей матерью. По прибытии её задержали в аэропорту на семь часов, после чего отпустили.</w:t>
      </w:r>
    </w:p>
    <w:bookmarkStart w:id="20" w:name="incomm1"/>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36</w:t>
      </w:r>
      <w:r w:rsidRPr="00A35FD2">
        <w:fldChar w:fldCharType="end"/>
      </w:r>
      <w:bookmarkEnd w:id="20"/>
      <w:r>
        <w:t>.  Г-жу И. допросил следователь Министерства внутренних дел Узбекистана, г-н К., в ведении которого находилось дело в отношении заявителя, но ей было отказано в доступе к заявителю. Когда она увидела заявителя в зале суда, он знаками показал ей, что его избивали.</w:t>
      </w:r>
    </w:p>
    <w:p w:rsidR="00022850" w:rsidRPr="00A35FD2" w:rsidRDefault="00022850" w:rsidP="00A35FD2">
      <w:pPr>
        <w:pStyle w:val="ECHRHeading4"/>
      </w:pPr>
      <w:r>
        <w:t>(в)  Информация, предоставленная матерью заявителя</w:t>
      </w:r>
    </w:p>
    <w:p w:rsidR="00022850" w:rsidRPr="00A35FD2" w:rsidRDefault="00022850" w:rsidP="00A35FD2">
      <w:pPr>
        <w:pStyle w:val="ECHRPara"/>
      </w:pPr>
      <w:fldSimple w:instr=" SEQ level0 \*arabic ">
        <w:r>
          <w:rPr>
            <w:noProof/>
          </w:rPr>
          <w:t>37</w:t>
        </w:r>
      </w:fldSimple>
      <w:r>
        <w:t xml:space="preserve">.  4 ноября 2014 г. г-н Васильев поговорил с матерью заявителя, </w:t>
      </w:r>
      <w:r>
        <w:br/>
        <w:t>г-жой Х.</w:t>
      </w:r>
    </w:p>
    <w:p w:rsidR="00022850" w:rsidRPr="00A35FD2" w:rsidRDefault="00022850" w:rsidP="00A35FD2">
      <w:pPr>
        <w:pStyle w:val="ECHRPara"/>
      </w:pPr>
      <w:fldSimple w:instr=" SEQ level0 \*arabic ">
        <w:r>
          <w:rPr>
            <w:noProof/>
          </w:rPr>
          <w:t>38</w:t>
        </w:r>
      </w:fldSimple>
      <w:r>
        <w:t>.  Г-жа Х. заявила, что в декабре 2010 г. её младший сын был признан виновным в совершении преступлений, связанных с религиозным экстремизмом, что повлияло на его решение покинуть Узбекистан. В период его нахождения в Москве она периодически связывалась с ним.</w:t>
      </w:r>
    </w:p>
    <w:p w:rsidR="00022850" w:rsidRPr="00A35FD2" w:rsidRDefault="00022850" w:rsidP="00A35FD2">
      <w:pPr>
        <w:pStyle w:val="ECHRPara"/>
      </w:pPr>
      <w:fldSimple w:instr=" SEQ level0 \*arabic ">
        <w:r>
          <w:rPr>
            <w:noProof/>
          </w:rPr>
          <w:t>39</w:t>
        </w:r>
      </w:fldSimple>
      <w:r>
        <w:t xml:space="preserve">.  15 июня 2014 г. г-жа И. прибыла в Узбекистан и сообщила </w:t>
      </w:r>
      <w:r>
        <w:br/>
        <w:t>г-же Х. о похищении заявителя.</w:t>
      </w:r>
    </w:p>
    <w:p w:rsidR="00022850" w:rsidRPr="00A35FD2" w:rsidRDefault="00022850" w:rsidP="00A35FD2">
      <w:pPr>
        <w:pStyle w:val="ECHRPara"/>
      </w:pPr>
      <w:fldSimple w:instr=" SEQ level0 \*arabic ">
        <w:r>
          <w:rPr>
            <w:noProof/>
          </w:rPr>
          <w:t>40</w:t>
        </w:r>
      </w:fldSimple>
      <w:r>
        <w:t>.  25 июня 2014 г. сотрудники Министерства внутренних дел Узбекистана прибыли в дом г-жи Х. и обыскали его.</w:t>
      </w:r>
    </w:p>
    <w:p w:rsidR="00022850" w:rsidRPr="00A35FD2" w:rsidRDefault="00022850" w:rsidP="00A35FD2">
      <w:pPr>
        <w:pStyle w:val="ECHRPara"/>
      </w:pPr>
      <w:fldSimple w:instr=" SEQ level0 \*arabic ">
        <w:r>
          <w:rPr>
            <w:noProof/>
          </w:rPr>
          <w:t>41</w:t>
        </w:r>
      </w:fldSimple>
      <w:r>
        <w:t xml:space="preserve">.  27 июня 2014 г. мать заявителя посетила следователя К., который заявил, что заявитель добровольно вернулся в Ташкент </w:t>
      </w:r>
      <w:r>
        <w:br/>
        <w:t>8 июня 2014 г. и отправился в милицию, чтобы написать явку с повинной.</w:t>
      </w:r>
    </w:p>
    <w:bookmarkStart w:id="21" w:name="incomm2"/>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42</w:t>
      </w:r>
      <w:r w:rsidRPr="00A35FD2">
        <w:fldChar w:fldCharType="end"/>
      </w:r>
      <w:bookmarkEnd w:id="21"/>
      <w:r>
        <w:t>.  Какие-то люди сообщили г-же Х., что её сына жестоко избивали во время содержания под стражей. Ей не предоставляли доступа к заявителю, но когда она видела его в зале суда, он выглядел очень плохо.</w:t>
      </w:r>
    </w:p>
    <w:p w:rsidR="00022850" w:rsidRPr="00A35FD2" w:rsidRDefault="00022850" w:rsidP="00A35FD2">
      <w:pPr>
        <w:pStyle w:val="ECHRHeading3"/>
      </w:pPr>
      <w:r>
        <w:t>5.  Осуждение заявителя</w:t>
      </w:r>
    </w:p>
    <w:bookmarkStart w:id="22" w:name="trial"/>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43</w:t>
      </w:r>
      <w:r w:rsidRPr="00A35FD2">
        <w:fldChar w:fldCharType="end"/>
      </w:r>
      <w:bookmarkEnd w:id="22"/>
      <w:r>
        <w:t>.  18 ноября 2014 г. Ташкентский городской суд признал заявителя виновным в совершении преступлений, предусмотренных статьями 216 («Незаконная организация общественных объединений или религиозных организаций») и 244² («Создание, руководство, участие в религиозных экстремистских, сепаратистских, фундаменталистских или иных запрещённых организациях») Уголовного кодекса Узбекистана и приговорил его к восьми годам лишения свободы.</w:t>
      </w:r>
    </w:p>
    <w:p w:rsidR="00022850" w:rsidRPr="00A35FD2" w:rsidRDefault="00022850" w:rsidP="00A35FD2">
      <w:pPr>
        <w:pStyle w:val="ECHRPara"/>
      </w:pPr>
      <w:fldSimple w:instr=" SEQ level0 \*arabic ">
        <w:r>
          <w:rPr>
            <w:noProof/>
          </w:rPr>
          <w:t>44</w:t>
        </w:r>
      </w:fldSimple>
      <w:r>
        <w:t>.  Адвокат, назначенный заявителю, отказался обжаловать данный приговор.</w:t>
      </w:r>
    </w:p>
    <w:p w:rsidR="00022850" w:rsidRPr="00A35FD2" w:rsidRDefault="00022850" w:rsidP="00A35FD2">
      <w:pPr>
        <w:pStyle w:val="ECHRPara"/>
      </w:pPr>
      <w:fldSimple w:instr=" SEQ level0 \*arabic ">
        <w:r>
          <w:rPr>
            <w:noProof/>
          </w:rPr>
          <w:t>45</w:t>
        </w:r>
      </w:fldSimple>
      <w:r>
        <w:t>.  26 ноября 2014 г. г-н Васильев подал жалобу в Апелляционную палату Ташкентского городского суда от имени заявителя. По-видимому, заявитель впоследствии отозвал данную жалобу.</w:t>
      </w:r>
    </w:p>
    <w:p w:rsidR="00022850" w:rsidRPr="00A35FD2" w:rsidRDefault="00022850" w:rsidP="00A35FD2">
      <w:pPr>
        <w:pStyle w:val="ECHRPara"/>
      </w:pPr>
      <w:fldSimple w:instr=" SEQ level0 \*arabic ">
        <w:r>
          <w:rPr>
            <w:noProof/>
          </w:rPr>
          <w:t>46</w:t>
        </w:r>
      </w:fldSimple>
      <w:r>
        <w:t>.  Заявитель продолжает отбывать наказание в Узбекистане.</w:t>
      </w:r>
    </w:p>
    <w:p w:rsidR="00022850" w:rsidRPr="00A35FD2" w:rsidRDefault="00022850" w:rsidP="00A35FD2">
      <w:pPr>
        <w:pStyle w:val="ECHRHeading3"/>
      </w:pPr>
      <w:r>
        <w:t>6.  Жалоба на решение суда в связи с ходатайством заявителя о признании беженцем</w:t>
      </w:r>
    </w:p>
    <w:p w:rsidR="00022850" w:rsidRPr="00A35FD2" w:rsidRDefault="00022850" w:rsidP="00A35FD2">
      <w:pPr>
        <w:pStyle w:val="ECHRPara"/>
      </w:pPr>
      <w:fldSimple w:instr=" SEQ level0 \*arabic ">
        <w:r>
          <w:rPr>
            <w:noProof/>
          </w:rPr>
          <w:t>47</w:t>
        </w:r>
      </w:fldSimple>
      <w:r>
        <w:t>.  29 июля 2014 г. УФМС по г. Москве подало жалобу на решение суда от 12 мая 2014 г. Данная жалоба не сопровождалась ходатайством о восстановлении пропущенного срока для её подачи.</w:t>
      </w:r>
    </w:p>
    <w:p w:rsidR="00022850" w:rsidRPr="00A35FD2" w:rsidRDefault="00022850" w:rsidP="00A35FD2">
      <w:pPr>
        <w:pStyle w:val="ECHRPara"/>
      </w:pPr>
      <w:fldSimple w:instr=" SEQ level0 \*arabic ">
        <w:r>
          <w:rPr>
            <w:noProof/>
          </w:rPr>
          <w:t>48</w:t>
        </w:r>
      </w:fldSimple>
      <w:r>
        <w:t>.  В неуказанный день Московский городской суд удовлетворил данную жалобу. С учётом истекшего срока неясно, на каких основаниях она была удовлетворена.</w:t>
      </w:r>
    </w:p>
    <w:p w:rsidR="00022850" w:rsidRPr="00A35FD2" w:rsidRDefault="00022850" w:rsidP="00A35FD2">
      <w:pPr>
        <w:pStyle w:val="ECHRPara"/>
      </w:pPr>
      <w:fldSimple w:instr=" SEQ level0 \*arabic ">
        <w:r>
          <w:rPr>
            <w:noProof/>
          </w:rPr>
          <w:t>49</w:t>
        </w:r>
      </w:fldSimple>
      <w:r>
        <w:t>.  19 октября 2014 г. Представительство УВКБ ООН в Российской Федерации (далее — «УВКБ ООН») представило на рассмотрение Московского городского суда меморандум по делу заявителя. В нём отмечено, что пытки являются широко распространённым методом принуждения, используемым властями Узбекистана для получения самоизобличительных показаний от лиц, подозреваемых в причастности к «религиозному экстремизму». В заявлении говорится, в частности, следующее:</w:t>
      </w:r>
    </w:p>
    <w:p w:rsidR="00022850" w:rsidRPr="00A35FD2" w:rsidRDefault="00022850" w:rsidP="00A35FD2">
      <w:pPr>
        <w:pStyle w:val="ECHRParaQuote"/>
      </w:pPr>
      <w:r>
        <w:t>«Как следует из документа „Призыв к незамедлительным действиям“, опубликованного Amnesty International 6 ноября 2014 г., после принудительного возвращения в Узбекистан, г-н Хамидкариев подвергался пыткам и другим видам запрещённого обращения и наказания в течение двух месяцев с целью получения признательных показаний по сфабрикованным обвинениям — его привязывали вниз головой к решётке, прикреплённой к стене, и избивали, в результате чего выбили ему семь зубов и сломали два ребра».</w:t>
      </w:r>
    </w:p>
    <w:p w:rsidR="00022850" w:rsidRPr="00A35FD2" w:rsidRDefault="00022850" w:rsidP="00A35FD2">
      <w:pPr>
        <w:pStyle w:val="ECHRPara"/>
      </w:pPr>
      <w:fldSimple w:instr=" SEQ level0 \*arabic ">
        <w:r>
          <w:rPr>
            <w:noProof/>
          </w:rPr>
          <w:t>50</w:t>
        </w:r>
      </w:fldSimple>
      <w:r>
        <w:t>.  2 декабря 2014 г. Московский городской суд рассмотрел жалобу, поданную УФМС по г. Москве на решение суда от 12 мая 2014 г., отменил это решение суда и оставил в силе решение УФМС по г. Москве от 8 ноября 2013 г. ввиду того, что заявитель не предоставил «убедительных и неопровержимых доказательств существования обоснованных опасений стать жертвой преследований в Узбекистане». Основания для рассмотрения по существу жалобы, поданной за пределами установленного срока, в тексте решения указаны не были.</w:t>
      </w:r>
    </w:p>
    <w:p w:rsidR="00022850" w:rsidRPr="00A35FD2" w:rsidRDefault="00022850" w:rsidP="00A35FD2">
      <w:pPr>
        <w:pStyle w:val="ECHRHeading2"/>
      </w:pPr>
      <w:r>
        <w:t>Б.  Информация, представленная Властями</w:t>
      </w:r>
    </w:p>
    <w:p w:rsidR="00022850" w:rsidRPr="00A35FD2" w:rsidRDefault="00022850" w:rsidP="00A35FD2">
      <w:pPr>
        <w:pStyle w:val="ECHRPara"/>
      </w:pPr>
      <w:fldSimple w:instr=" SEQ level0 \*arabic ">
        <w:r>
          <w:rPr>
            <w:noProof/>
          </w:rPr>
          <w:t>51</w:t>
        </w:r>
      </w:fldSimple>
      <w:r>
        <w:t>.  В ходе производства по делу в Европейском Суде Власти четыре раза направляли в суд различные документы, содержание которых изложено ниже.</w:t>
      </w:r>
    </w:p>
    <w:p w:rsidR="00022850" w:rsidRPr="00A35FD2" w:rsidRDefault="00022850" w:rsidP="00A35FD2">
      <w:pPr>
        <w:pStyle w:val="ECHRHeading3"/>
      </w:pPr>
      <w:r>
        <w:t>1.  Письмо от 1 июля 2014 г.</w:t>
      </w:r>
    </w:p>
    <w:p w:rsidR="00022850" w:rsidRPr="00A35FD2" w:rsidRDefault="00022850" w:rsidP="00A35FD2">
      <w:pPr>
        <w:pStyle w:val="ECHRPara"/>
      </w:pPr>
      <w:fldSimple w:instr=" SEQ level0 \*arabic ">
        <w:r>
          <w:rPr>
            <w:noProof/>
          </w:rPr>
          <w:t>52</w:t>
        </w:r>
      </w:fldSimple>
      <w:r>
        <w:t xml:space="preserve">.  Письмом от 1 июля 2014 г. в ответ на просьбу Суда о предоставлении информации от 10 июня 2014 г., направленную одновременно с указанием обеспечительных мер (см. выше, пункт </w:t>
      </w:r>
      <w:r w:rsidRPr="00A35FD2">
        <w:fldChar w:fldCharType="begin"/>
      </w:r>
      <w:r w:rsidRPr="00A35FD2">
        <w:instrText xml:space="preserve"> REF R39 \h </w:instrText>
      </w:r>
      <w:r w:rsidRPr="00A35FD2">
        <w:fldChar w:fldCharType="separate"/>
      </w:r>
      <w:r>
        <w:rPr>
          <w:noProof/>
        </w:rPr>
        <w:t>4</w:t>
      </w:r>
      <w:r w:rsidRPr="00A35FD2">
        <w:fldChar w:fldCharType="end"/>
      </w:r>
      <w:r>
        <w:t xml:space="preserve"> настоящего постановления), Власти сообщили Европейскому Суду, что «соответствующие государственные органы были проинформированы об исчезновении заявителя и указании Европейским Судом обеспечительных мер в соответствии с правилом 39 Регламента Европейского Суда».</w:t>
      </w:r>
    </w:p>
    <w:p w:rsidR="00022850" w:rsidRPr="00A35FD2" w:rsidRDefault="00022850" w:rsidP="00A35FD2">
      <w:pPr>
        <w:pStyle w:val="ECHRPara"/>
      </w:pPr>
      <w:fldSimple w:instr=" SEQ level0 \*arabic ">
        <w:r>
          <w:rPr>
            <w:noProof/>
          </w:rPr>
          <w:t>53</w:t>
        </w:r>
      </w:fldSimple>
      <w:r>
        <w:t>.  Они также отметили, что заявитель не «задерживался сотрудниками каких-либо российских правоохранительных органов 9 июня 2014 г. в Москве» и что «его текущее местонахождение неизвестно».</w:t>
      </w:r>
    </w:p>
    <w:p w:rsidR="00022850" w:rsidRPr="00A35FD2" w:rsidRDefault="00022850" w:rsidP="00A35FD2">
      <w:pPr>
        <w:pStyle w:val="ECHRPara"/>
      </w:pPr>
      <w:fldSimple w:instr=" SEQ level0 \*arabic ">
        <w:r>
          <w:rPr>
            <w:noProof/>
          </w:rPr>
          <w:t>54</w:t>
        </w:r>
      </w:fldSimple>
      <w:r>
        <w:t xml:space="preserve">.  Власти также указали, что 10 июня 2014 г. в отдел Министерства внутренних дел России по Басманному району </w:t>
      </w:r>
      <w:r>
        <w:br/>
        <w:t>(далее — «ОВД Басманного района») поступила жалоба г-на Т. о похищении заявителя, и что 19 июня 2014 г. материалы дела и доследственной проверки, проведённой в связи с данной жалобой, были направлены в следственный отдел по Басманному району следственного управления Следственного комитета при прокуратуре Российской Федерации по г. Москве (далее — «следственный орган») «для дальнейшей проверки и возможного возбуждения уголовного дела».</w:t>
      </w:r>
    </w:p>
    <w:p w:rsidR="00022850" w:rsidRPr="00A35FD2" w:rsidRDefault="00022850" w:rsidP="00A35FD2">
      <w:pPr>
        <w:pStyle w:val="ECHRPara"/>
      </w:pPr>
      <w:fldSimple w:instr=" SEQ level0 \*arabic ">
        <w:r>
          <w:rPr>
            <w:noProof/>
          </w:rPr>
          <w:t>55</w:t>
        </w:r>
      </w:fldSimple>
      <w:r>
        <w:t xml:space="preserve">.  Наконец, они отметили, что письмо представителя заявителя от 25 июня 2014 г. (см. выше, пункт </w:t>
      </w:r>
      <w:r w:rsidRPr="00A35FD2">
        <w:fldChar w:fldCharType="begin"/>
      </w:r>
      <w:r w:rsidRPr="00A35FD2">
        <w:instrText xml:space="preserve"> REF notification \h </w:instrText>
      </w:r>
      <w:r w:rsidRPr="00A35FD2">
        <w:fldChar w:fldCharType="separate"/>
      </w:r>
      <w:r>
        <w:rPr>
          <w:noProof/>
        </w:rPr>
        <w:t>24</w:t>
      </w:r>
      <w:r w:rsidRPr="00A35FD2">
        <w:fldChar w:fldCharType="end"/>
      </w:r>
      <w:r>
        <w:t xml:space="preserve"> настоящего постановления) было направлено в следственный орган для рассмотрения.</w:t>
      </w:r>
    </w:p>
    <w:p w:rsidR="00022850" w:rsidRPr="00A35FD2" w:rsidRDefault="00022850" w:rsidP="00A35FD2">
      <w:pPr>
        <w:pStyle w:val="ECHRPara"/>
      </w:pPr>
      <w:fldSimple w:instr=" SEQ level0 \*arabic ">
        <w:r>
          <w:rPr>
            <w:noProof/>
          </w:rPr>
          <w:t>56</w:t>
        </w:r>
      </w:fldSimple>
      <w:r>
        <w:t>.  К письму от 1 июля 2014 г. не прилагалось никаких документов.</w:t>
      </w:r>
    </w:p>
    <w:p w:rsidR="00022850" w:rsidRPr="00A35FD2" w:rsidRDefault="00022850" w:rsidP="00A35FD2">
      <w:pPr>
        <w:pStyle w:val="ECHRHeading3"/>
      </w:pPr>
      <w:r>
        <w:t>2.  Замечания по вопросу о приемлемости и по существу жалобы от 24 октября 2014 г.</w:t>
      </w:r>
    </w:p>
    <w:p w:rsidR="00022850" w:rsidRPr="00A35FD2" w:rsidRDefault="00022850" w:rsidP="00A35FD2">
      <w:pPr>
        <w:pStyle w:val="ECHRPara"/>
      </w:pPr>
      <w:fldSimple w:instr=" SEQ level0 \*arabic ">
        <w:r>
          <w:rPr>
            <w:noProof/>
          </w:rPr>
          <w:t>57</w:t>
        </w:r>
      </w:fldSimple>
      <w:r>
        <w:t>.  24 октября 2014 г. Власти представили свои замечания по вопросу приемлемости и по существу жалобы, содержание которых можно изложить следующим образом.</w:t>
      </w:r>
    </w:p>
    <w:bookmarkStart w:id="23" w:name="open"/>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58</w:t>
      </w:r>
      <w:r w:rsidRPr="00A35FD2">
        <w:fldChar w:fldCharType="end"/>
      </w:r>
      <w:bookmarkEnd w:id="23"/>
      <w:r>
        <w:t>.  9 сентября 2014 г.</w:t>
      </w:r>
      <w:r w:rsidRPr="00A35FD2">
        <w:rPr>
          <w:rStyle w:val="FootnoteReference"/>
          <w:lang w:val="en-GB"/>
        </w:rPr>
        <w:footnoteReference w:id="1"/>
      </w:r>
      <w:r>
        <w:t xml:space="preserve"> следственный орган возбудил уголовное дело № 815447 по факту похищения заявителя по признакам преступления, предусмотренного пунктом «а» части 2 статьи 126 Уголовного кодекса Российской Федерации («Похищение при отягчающих обстоятельствах»).</w:t>
      </w:r>
    </w:p>
    <w:bookmarkStart w:id="24" w:name="Gvtabduction"/>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59</w:t>
      </w:r>
      <w:r w:rsidRPr="00A35FD2">
        <w:fldChar w:fldCharType="end"/>
      </w:r>
      <w:bookmarkEnd w:id="24"/>
      <w:r>
        <w:t>.  В ходе расследования были проанализированы записи с камер видеонаблюдения, расположенных вблизи от места преступления. Из них следовало, что 9 июня 2014 г. около 19:00 заявителя похитили неизвестные люди и увезли на машине.</w:t>
      </w:r>
    </w:p>
    <w:bookmarkStart w:id="25" w:name="estf2"/>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60</w:t>
      </w:r>
      <w:r w:rsidRPr="00A35FD2">
        <w:fldChar w:fldCharType="end"/>
      </w:r>
      <w:bookmarkEnd w:id="25"/>
      <w:r>
        <w:t xml:space="preserve">.  Власти заявили, что требование Европейского Суда представить списки пассажиров, зарегистрированных на авиарейсы в Узбекистан с 9 по 12 июня 2014 г. (см. выше, пункт </w:t>
      </w:r>
      <w:r w:rsidRPr="00A35FD2">
        <w:fldChar w:fldCharType="begin"/>
      </w:r>
      <w:r w:rsidRPr="00A35FD2">
        <w:instrText xml:space="preserve"> REF comq \h </w:instrText>
      </w:r>
      <w:r w:rsidRPr="00A35FD2">
        <w:fldChar w:fldCharType="separate"/>
      </w:r>
      <w:r>
        <w:rPr>
          <w:noProof/>
        </w:rPr>
        <w:t>5</w:t>
      </w:r>
      <w:r w:rsidRPr="00A35FD2">
        <w:fldChar w:fldCharType="end"/>
      </w:r>
      <w:r>
        <w:t xml:space="preserve"> настоящего постановления), не могло быть исполнено, поскольку соответствующие списки содержали персональные данные третьих лиц и не могли быть представлены в Европейский Суд без их предварительного согласия.</w:t>
      </w:r>
    </w:p>
    <w:p w:rsidR="00022850" w:rsidRPr="00A35FD2" w:rsidRDefault="00022850" w:rsidP="00A35FD2">
      <w:pPr>
        <w:pStyle w:val="ECHRPara"/>
      </w:pPr>
      <w:fldSimple w:instr=" SEQ level0 \*arabic ">
        <w:r>
          <w:rPr>
            <w:noProof/>
          </w:rPr>
          <w:t>61</w:t>
        </w:r>
      </w:fldSimple>
      <w:r>
        <w:t>.  Власти также заявили, что отсутствовала информация о задержании заявителя 9 июня 2014 г. сотрудниками правоохранительных органов или его содержании под стражей в следственных изоляторах г. Москвы или Московской области, и что на тот момент не было получено информации о пересечении заявителем государственной границы.</w:t>
      </w:r>
    </w:p>
    <w:bookmarkStart w:id="26" w:name="Uzbek180614"/>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62</w:t>
      </w:r>
      <w:r w:rsidRPr="00A35FD2">
        <w:fldChar w:fldCharType="end"/>
      </w:r>
      <w:bookmarkEnd w:id="26"/>
      <w:r>
        <w:t>.  Уведомление, направленное узбекскими властями отцу заявителя 18 июня 2014 г. в отношении задержания заявителя и помещения его под стражу в Узбекистане, было приобщено к уголовному делу.</w:t>
      </w:r>
    </w:p>
    <w:p w:rsidR="00022850" w:rsidRPr="00A35FD2" w:rsidRDefault="00022850" w:rsidP="00A35FD2">
      <w:pPr>
        <w:pStyle w:val="ECHRPara"/>
      </w:pPr>
      <w:fldSimple w:instr=" SEQ level0 \*arabic ">
        <w:r>
          <w:rPr>
            <w:noProof/>
          </w:rPr>
          <w:t>63</w:t>
        </w:r>
      </w:fldSimple>
      <w:r>
        <w:t>.  В заключение, Власти отметили, что не было никаких доказательств прямой или косвенной причастности российских властей к предполагаемому похищению заявителя и его перевозке в Узбекистан.</w:t>
      </w:r>
    </w:p>
    <w:p w:rsidR="00022850" w:rsidRPr="00A35FD2" w:rsidRDefault="00022850" w:rsidP="00A35FD2">
      <w:pPr>
        <w:pStyle w:val="ECHRPara"/>
      </w:pPr>
      <w:fldSimple w:instr=" SEQ level0 \*arabic ">
        <w:r>
          <w:rPr>
            <w:noProof/>
          </w:rPr>
          <w:t>64</w:t>
        </w:r>
      </w:fldSimple>
      <w:r>
        <w:t>.  Российские власти не были уведомлены о риске похищения заявителя и не могли знать о нем.</w:t>
      </w:r>
    </w:p>
    <w:p w:rsidR="00022850" w:rsidRPr="00A35FD2" w:rsidRDefault="00022850" w:rsidP="00A35FD2">
      <w:pPr>
        <w:pStyle w:val="ECHRPara"/>
      </w:pPr>
      <w:fldSimple w:instr=" SEQ level0 \*arabic ">
        <w:r>
          <w:rPr>
            <w:noProof/>
          </w:rPr>
          <w:t>65</w:t>
        </w:r>
      </w:fldSimple>
      <w:r>
        <w:t>.  Власти не могли предоставить информацию об уголовном деле, возбуждённом в отношении заявителя в Узбекистане, поскольку данное уголовное дело выходило за рамки их юрисдикции. Вместе с тем, они направили запрос об оказании правовой помощи узбекским властям с целью установления местонахождения заявителя.</w:t>
      </w:r>
    </w:p>
    <w:p w:rsidR="00022850" w:rsidRPr="00A35FD2" w:rsidRDefault="00022850" w:rsidP="00A35FD2">
      <w:pPr>
        <w:pStyle w:val="ECHRPara"/>
      </w:pPr>
      <w:fldSimple w:instr=" SEQ level0 \*arabic ">
        <w:r>
          <w:rPr>
            <w:noProof/>
          </w:rPr>
          <w:t>66</w:t>
        </w:r>
      </w:fldSimple>
      <w:r>
        <w:t>.  В заключение, Власти указали, что отсутствовала административная практика недобровольного перемещения в страну гражданства лиц, в отношении которых было применено правило 39. В отношении случаев исчезновения таких лиц проводятся проверки и расследования. Надзор за соответствием законодательству Российской Федерации постановлений, принимаемых в ходе таких проверок и расследований, осуществляется Генеральной прокуратурой Российской Федерации. 10 сентября 2014 г. большой группой представителей государственных органов было проведено координационное совещание об усилении мер по обеспечению безопасности соискателей убежища.</w:t>
      </w:r>
    </w:p>
    <w:bookmarkStart w:id="27" w:name="ND1"/>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67</w:t>
      </w:r>
      <w:r w:rsidRPr="00A35FD2">
        <w:fldChar w:fldCharType="end"/>
      </w:r>
      <w:bookmarkEnd w:id="27"/>
      <w:r>
        <w:t>.  К замечаниям Властей от 24 октября 2014 г. не прилагалось никаких документов.</w:t>
      </w:r>
    </w:p>
    <w:p w:rsidR="00022850" w:rsidRPr="00A35FD2" w:rsidRDefault="00022850" w:rsidP="00A35FD2">
      <w:pPr>
        <w:pStyle w:val="ECHRHeading3"/>
      </w:pPr>
      <w:r>
        <w:t>3</w:t>
      </w:r>
      <w:r>
        <w:rPr>
          <w:sz w:val="28"/>
        </w:rPr>
        <w:t>.  </w:t>
      </w:r>
      <w:r>
        <w:t>Дополнительные замечания от 26 февраля 2015 г.</w:t>
      </w:r>
    </w:p>
    <w:p w:rsidR="00022850" w:rsidRPr="00A35FD2" w:rsidRDefault="00022850" w:rsidP="00A35FD2">
      <w:pPr>
        <w:pStyle w:val="ECHRPara"/>
      </w:pPr>
      <w:fldSimple w:instr=" SEQ level0 \*arabic ">
        <w:r>
          <w:rPr>
            <w:noProof/>
          </w:rPr>
          <w:t>68</w:t>
        </w:r>
      </w:fldSimple>
      <w:r>
        <w:t>.  26 февраля 2015 г. Власти, в ответ на замечания заявителя по вопросу о приемлемости и по существу жалобы, указали, что они подтверждают свою позицию, изложенную в замечаниях от 24 октября 2014 г., и прокомментировали требования заявителя</w:t>
      </w:r>
      <w:bookmarkStart w:id="28" w:name="ND2"/>
      <w:r>
        <w:t xml:space="preserve"> о справедливой компенсации.</w:t>
      </w:r>
    </w:p>
    <w:bookmarkStart w:id="29" w:name="p69"/>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69</w:t>
      </w:r>
      <w:r w:rsidRPr="00A35FD2">
        <w:fldChar w:fldCharType="end"/>
      </w:r>
      <w:bookmarkEnd w:id="28"/>
      <w:bookmarkEnd w:id="29"/>
      <w:r>
        <w:t>.  К письму Властей от 26 февраля 2015 г. не прилагалось никаких документов.</w:t>
      </w:r>
    </w:p>
    <w:p w:rsidR="00022850" w:rsidRPr="00A35FD2" w:rsidRDefault="00022850" w:rsidP="00A35FD2">
      <w:pPr>
        <w:pStyle w:val="ECHRHeading3"/>
      </w:pPr>
      <w:r>
        <w:t>4.  Письмо от 15 мая 2015 г.</w:t>
      </w:r>
    </w:p>
    <w:p w:rsidR="00022850" w:rsidRPr="00A35FD2" w:rsidRDefault="00022850" w:rsidP="00A35FD2">
      <w:pPr>
        <w:pStyle w:val="ECHRHeading4"/>
      </w:pPr>
      <w:r>
        <w:t>(а)  Сопроводительное письмо</w:t>
      </w:r>
    </w:p>
    <w:bookmarkStart w:id="30" w:name="ND3"/>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70</w:t>
      </w:r>
      <w:r w:rsidRPr="00A35FD2">
        <w:fldChar w:fldCharType="end"/>
      </w:r>
      <w:bookmarkEnd w:id="30"/>
      <w:r>
        <w:t xml:space="preserve">.  После того как Европейский Суд направил Властям вопрос о том, были ли государством-ответчиком соблюдены требования статьи 38 Конвенции (см. выше, пункт </w:t>
      </w:r>
      <w:r w:rsidRPr="00A35FD2">
        <w:fldChar w:fldCharType="begin"/>
      </w:r>
      <w:r w:rsidRPr="00A35FD2">
        <w:instrText xml:space="preserve"> REF recomq \h </w:instrText>
      </w:r>
      <w:r w:rsidRPr="00A35FD2">
        <w:fldChar w:fldCharType="separate"/>
      </w:r>
      <w:r>
        <w:rPr>
          <w:noProof/>
        </w:rPr>
        <w:t>6</w:t>
      </w:r>
      <w:r w:rsidRPr="00A35FD2">
        <w:fldChar w:fldCharType="end"/>
      </w:r>
      <w:r>
        <w:t xml:space="preserve"> настоящего постановления), Власти представили письмо, в котором говорится следующее:</w:t>
      </w:r>
    </w:p>
    <w:p w:rsidR="00022850" w:rsidRPr="00A35FD2" w:rsidRDefault="00022850" w:rsidP="00A35FD2">
      <w:pPr>
        <w:pStyle w:val="ECHRParaQuote"/>
      </w:pPr>
      <w:r>
        <w:t>«В ответ на Ваше письмо от 24 апреля 2015 г. в отношении вышеуказанной жалобы прилагаем копии документов, относящихся к уголовному делу, которые были раскрыты следственными органами после повторного запроса.</w:t>
      </w:r>
    </w:p>
    <w:p w:rsidR="00022850" w:rsidRPr="00A35FD2" w:rsidRDefault="00022850" w:rsidP="00A35FD2">
      <w:pPr>
        <w:pStyle w:val="ECHRParaQuote"/>
      </w:pPr>
      <w:r>
        <w:t>Власти просят Европейский Суд приобщить данные документы к материалам дела».</w:t>
      </w:r>
    </w:p>
    <w:p w:rsidR="00022850" w:rsidRPr="00A35FD2" w:rsidRDefault="00022850" w:rsidP="00A35FD2">
      <w:pPr>
        <w:pStyle w:val="ECHRPara"/>
      </w:pPr>
      <w:fldSimple w:instr=" SEQ level0 \*arabic ">
        <w:r>
          <w:rPr>
            <w:noProof/>
          </w:rPr>
          <w:t>71</w:t>
        </w:r>
      </w:fldSimple>
      <w:r>
        <w:t>.  Никакого ответа на вопрос Европейского Суда о соблюдении статьи 38 Конвенции дано не было.</w:t>
      </w:r>
    </w:p>
    <w:p w:rsidR="00022850" w:rsidRPr="00A35FD2" w:rsidRDefault="00022850" w:rsidP="00A35FD2">
      <w:pPr>
        <w:pStyle w:val="ECHRHeading4"/>
      </w:pPr>
      <w:r>
        <w:t>(б)  Прилагаемые документы</w:t>
      </w:r>
    </w:p>
    <w:p w:rsidR="00022850" w:rsidRPr="00A35FD2" w:rsidRDefault="00022850" w:rsidP="00A35FD2">
      <w:pPr>
        <w:pStyle w:val="ECHRPara"/>
      </w:pPr>
      <w:fldSimple w:instr=" SEQ level0 \*arabic ">
        <w:r>
          <w:rPr>
            <w:noProof/>
          </w:rPr>
          <w:t>72</w:t>
        </w:r>
      </w:fldSimple>
      <w:r>
        <w:t>.  К сопроводительному письму Властей прилагались различные документы российских и узбекских властей объёмом 43 страницы.</w:t>
      </w:r>
    </w:p>
    <w:p w:rsidR="00022850" w:rsidRPr="00A35FD2" w:rsidRDefault="00022850" w:rsidP="00A35FD2">
      <w:pPr>
        <w:pStyle w:val="ECHRHeading5"/>
      </w:pPr>
      <w:r>
        <w:t>(i)  Документы, предоставленные российскими властями</w:t>
      </w:r>
    </w:p>
    <w:p w:rsidR="00022850" w:rsidRPr="00A35FD2" w:rsidRDefault="00022850" w:rsidP="00A35FD2">
      <w:pPr>
        <w:pStyle w:val="ECHRHeading6"/>
        <w:rPr>
          <w:i w:val="0"/>
        </w:rPr>
      </w:pPr>
      <w:r>
        <w:rPr>
          <w:i w:val="0"/>
        </w:rPr>
        <w:t>(α)  Изложение событий в хронологическом порядке</w:t>
      </w:r>
    </w:p>
    <w:p w:rsidR="00022850" w:rsidRPr="00A35FD2" w:rsidRDefault="00022850" w:rsidP="00A35FD2">
      <w:pPr>
        <w:pStyle w:val="ECHRPara"/>
      </w:pPr>
      <w:fldSimple w:instr=" SEQ level0 \*arabic ">
        <w:r>
          <w:rPr>
            <w:noProof/>
          </w:rPr>
          <w:t>73</w:t>
        </w:r>
      </w:fldSimple>
      <w:r>
        <w:t>.  Содержание документов российских властей, прилагавшихся к письму Властей от 15 мая 2015 г., может быть изложено следующим образом.</w:t>
      </w:r>
    </w:p>
    <w:p w:rsidR="00022850" w:rsidRPr="00A35FD2" w:rsidRDefault="00022850" w:rsidP="00A35FD2">
      <w:pPr>
        <w:pStyle w:val="ECHRPara"/>
      </w:pPr>
      <w:fldSimple w:instr=" SEQ level0 \*arabic ">
        <w:r>
          <w:rPr>
            <w:noProof/>
          </w:rPr>
          <w:t>74</w:t>
        </w:r>
      </w:fldSimple>
      <w:r>
        <w:t>.  10 июня 2014 г. г-н Т. сообщил о похищении заявителя в ОВД Басманное и написал заявление. Г-н Т. в частности указал, что женщина на улице около аптеки видела, как двое мужчин садились в припаркованную «Ладу Приору» серебристого цвета.</w:t>
      </w:r>
    </w:p>
    <w:p w:rsidR="00022850" w:rsidRPr="00A35FD2" w:rsidRDefault="00022850" w:rsidP="00A35FD2">
      <w:pPr>
        <w:pStyle w:val="ECHRPara"/>
      </w:pPr>
      <w:fldSimple w:instr=" SEQ level0 \*arabic ">
        <w:r>
          <w:rPr>
            <w:noProof/>
          </w:rPr>
          <w:t>75</w:t>
        </w:r>
      </w:fldSimple>
      <w:r>
        <w:t>.  10 июня 2014 г. г-жа И. подала заявление в ОВД Басманного района, в котором говорилось, что 9 июня 2014 г. около 19:00 она, её сожитель и сын сели в такси — «Ладу Приору» серебристого цвета. Она вышла из такси, чтобы зайти в аптеку, но к тому моменту, как она вышла, такси там не было.</w:t>
      </w:r>
    </w:p>
    <w:bookmarkStart w:id="31" w:name="June3014"/>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76</w:t>
      </w:r>
      <w:r w:rsidRPr="00A35FD2">
        <w:fldChar w:fldCharType="end"/>
      </w:r>
      <w:bookmarkEnd w:id="31"/>
      <w:r>
        <w:t>.  30 июня 2014 г. ОВД Басманного района сообщил следственному органу о невозможности установления местонахождения заявителя и об отсутствии «достоверной информации» об авиа- или железнодорожных билетах, выданных на имя заявителя, или о помещении заявителя в следственный изолятор. Кроме того, было отмечено, что управление ФСБ по г. Москве и информационный центр Министерства внутренних дел Российской Федерации не ответили на запросы полиции. ОВД Басманного района также сообщило о невозможности установления местонахождения г-на Т. и г</w:t>
      </w:r>
      <w:r>
        <w:noBreakHyphen/>
        <w:t>жи И., а также водителя такси, который доставил заявителя к месту похищения.</w:t>
      </w:r>
    </w:p>
    <w:bookmarkStart w:id="32" w:name="open2"/>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77</w:t>
      </w:r>
      <w:r w:rsidRPr="00A35FD2">
        <w:fldChar w:fldCharType="end"/>
      </w:r>
      <w:bookmarkEnd w:id="32"/>
      <w:r>
        <w:t>.  9 июля 2014 г. следственный орган вынес постановление о возбуждении уголовного дела по факту похищения заявителя. В решении содержалось следующее описание обстоятельств:</w:t>
      </w:r>
    </w:p>
    <w:p w:rsidR="00022850" w:rsidRPr="00A35FD2" w:rsidRDefault="00022850" w:rsidP="00A35FD2">
      <w:pPr>
        <w:pStyle w:val="ECHRParaQuote"/>
      </w:pPr>
      <w:r>
        <w:t>«9 июня 2014 г. около 19:00 неустановленные следствием лица, действуя совместно и согласованно, приблизились к неустановленному следствием автомобилю, припаркованному около дома № 7/2 на Большом Харитоняевском переулке в г. Москве, где находился г-н Хамидкариев, и, оказавшись в указанном автомобиле против воли потерпевшего, похитили г-на Хамидкариева и скрылись с места преступления на указанном автомобиле в неизвестном направлении».</w:t>
      </w:r>
    </w:p>
    <w:p w:rsidR="00022850" w:rsidRPr="00A35FD2" w:rsidRDefault="00022850" w:rsidP="00A35FD2">
      <w:pPr>
        <w:pStyle w:val="ECHRPara"/>
      </w:pPr>
      <w:fldSimple w:instr=" SEQ level0 \*arabic ">
        <w:r>
          <w:rPr>
            <w:noProof/>
          </w:rPr>
          <w:t>78</w:t>
        </w:r>
      </w:fldSimple>
      <w:r>
        <w:t>.  11 сентября 2014 г. следственный орган запросил у транспортной полиции информацию о том, не приобреталось ли на имя г-на Хамидкариева авиа- или железнодорожных билетов в период с 1 июня по 1 августа 2014 г.</w:t>
      </w:r>
    </w:p>
    <w:p w:rsidR="00022850" w:rsidRPr="00A35FD2" w:rsidRDefault="00022850" w:rsidP="00A35FD2">
      <w:pPr>
        <w:pStyle w:val="ECHRPara"/>
      </w:pPr>
      <w:fldSimple w:instr=" SEQ level0 \*arabic ">
        <w:r>
          <w:rPr>
            <w:noProof/>
          </w:rPr>
          <w:t>79</w:t>
        </w:r>
      </w:fldSimple>
      <w:r>
        <w:t>.  9 октября 2014 г. следственный орган признал заявителя потерпевшим по делу № 815447.</w:t>
      </w:r>
    </w:p>
    <w:p w:rsidR="00022850" w:rsidRPr="00A35FD2" w:rsidRDefault="00022850" w:rsidP="00A35FD2">
      <w:pPr>
        <w:pStyle w:val="ECHRPara"/>
      </w:pPr>
      <w:fldSimple w:instr=" SEQ level0 \*arabic ">
        <w:r>
          <w:rPr>
            <w:noProof/>
          </w:rPr>
          <w:t>80</w:t>
        </w:r>
      </w:fldSimple>
      <w:r>
        <w:t>.  15 января 2015 г. следователь следственного органа вынес постановление о приостановке расследования по делу № 815447. В постановлении говорится о том, что местонахождение заявителя было установлено в связи с поступившей информацией о заключении его под стражу в следственном изоляторе в Ташкенте, что был проведён осмотр места происшествия, допрошены несколько свидетелей, направлены запросы различным российским органам власти, а также запрос об оказании взаимной правовой помощи узбекским властям, который, однако, остался без ответа.</w:t>
      </w:r>
    </w:p>
    <w:bookmarkStart w:id="33" w:name="April2915"/>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81</w:t>
      </w:r>
      <w:r w:rsidRPr="00A35FD2">
        <w:fldChar w:fldCharType="end"/>
      </w:r>
      <w:bookmarkEnd w:id="33"/>
      <w:r>
        <w:t>.  29 апреля 2015 г. начальник следователя в следственном органе отменил постановление от 25 апреля 2015 г. о приостановлении дела и вернул его следователю на том основании, что постановление о приостановлении производства по делу было вынесено преждевременно. Было отмечено, что для обеспечения надлежащего расследования необходимо было принять ряд мер: получить ответ узбекских властей на запрос об оказании взаимной правовой помощи, а также ответы на «ранее направленные запросы». Необходимо также было провести «другие необходимые следственные и процессуальные меры».</w:t>
      </w:r>
    </w:p>
    <w:bookmarkStart w:id="34" w:name="doc"/>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82</w:t>
      </w:r>
      <w:r w:rsidRPr="00A35FD2">
        <w:fldChar w:fldCharType="end"/>
      </w:r>
      <w:bookmarkEnd w:id="34"/>
      <w:r>
        <w:t xml:space="preserve">.  29 апреля 2015 г. следователь следственного органа принял решение о возобновлении дела № 815447 в связи с распоряжением его руководителя. Из текста постановления следует, что в период между </w:t>
      </w:r>
      <w:r>
        <w:br/>
        <w:t>9 октября 2014 г. и 29 апреля 2015 г. расследование приостанавливалось и возобновлялось четыре раза на основании постановлений вышестоящего сотрудника следственного органа или прокурора.</w:t>
      </w:r>
    </w:p>
    <w:p w:rsidR="00022850" w:rsidRPr="00A35FD2" w:rsidRDefault="00022850" w:rsidP="00A35FD2">
      <w:pPr>
        <w:pStyle w:val="ECHRHeading6"/>
        <w:rPr>
          <w:i w:val="0"/>
        </w:rPr>
      </w:pPr>
      <w:r>
        <w:rPr>
          <w:i w:val="0"/>
        </w:rPr>
        <w:t>(β)  Прочие документы</w:t>
      </w:r>
    </w:p>
    <w:bookmarkStart w:id="35" w:name="wanted"/>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83</w:t>
      </w:r>
      <w:r w:rsidRPr="00A35FD2">
        <w:fldChar w:fldCharType="end"/>
      </w:r>
      <w:bookmarkEnd w:id="35"/>
      <w:r>
        <w:t>.  В материалах, представленных Властями, содержатся следующие документы:</w:t>
      </w:r>
    </w:p>
    <w:p w:rsidR="00022850" w:rsidRPr="00A35FD2" w:rsidRDefault="00022850" w:rsidP="00A35FD2">
      <w:pPr>
        <w:pStyle w:val="ECHRPara"/>
      </w:pPr>
      <w:r>
        <w:t>- лист без даты, озаглавленный «Федеральный розыск лица», содержащий личную информацию заявителя и информацию об уголовном деле, возбуждённом в его отношении в Узбекистане, из которого следует, что заявитель был объявлен в федеральный розыск в Российской Федерации. На листе содержится рукописная заметка «База данных „Регион“ Министерства внутренних дел Российской Федерации (не задержан)».</w:t>
      </w:r>
    </w:p>
    <w:p w:rsidR="00022850" w:rsidRPr="00A35FD2" w:rsidRDefault="00022850" w:rsidP="00A35FD2">
      <w:pPr>
        <w:pStyle w:val="ECHRPara"/>
      </w:pPr>
      <w:r>
        <w:t>- документ без даты, озаглавленный «Запрос об оказании правовой помощи», направленный «компетентным государственным органам Узбекистана» и подписанный следователем следственного органа, в котором содержится перечень вопросов, которые необходимо адресовать заявителю, г-же И., а также должностным лицам, задержавшим заявителя. Данные вопросы касаются, в частности, обстоятельств прибытия заявителя в Узбекистан, в том числе способа пересечения им границы и оснований для содержания его под стражей в Ташкенте.</w:t>
      </w:r>
    </w:p>
    <w:p w:rsidR="00022850" w:rsidRPr="00A35FD2" w:rsidRDefault="00022850" w:rsidP="00A35FD2">
      <w:pPr>
        <w:pStyle w:val="ECHRHeading5"/>
      </w:pPr>
      <w:r>
        <w:t>(ii)  Документы, предоставленные узбекскими властями</w:t>
      </w:r>
    </w:p>
    <w:p w:rsidR="00022850" w:rsidRPr="00A35FD2" w:rsidRDefault="00022850" w:rsidP="00A35FD2">
      <w:pPr>
        <w:pStyle w:val="ECHRPara"/>
      </w:pPr>
      <w:fldSimple w:instr=" SEQ level0 \*arabic ">
        <w:r>
          <w:rPr>
            <w:noProof/>
          </w:rPr>
          <w:t>84</w:t>
        </w:r>
      </w:fldSimple>
      <w:r>
        <w:t>.  Содержание документов узбекских властей, приложенных к письму Властей от 15 мая 2015 г., может быть изложено следующим образом.</w:t>
      </w:r>
    </w:p>
    <w:bookmarkStart w:id="36" w:name="arrestrecord"/>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85</w:t>
      </w:r>
      <w:r w:rsidRPr="00A35FD2">
        <w:fldChar w:fldCharType="end"/>
      </w:r>
      <w:bookmarkEnd w:id="36"/>
      <w:r>
        <w:t>.  Согласно протоколу задержания, составленному на русском языке в милиции Узбекистана, 14 июня 2014 г. в 10:40 заявитель был задержан в качестве подозреваемого в совершении преступления, предусмотренного частью 1 статьи 244² Уголовного кодекса Узбекистана. В протоколе не указано место, где было произведено задержание. В качестве оснований для задержания указано «прочая информация, приводящая к подозрению, что лицо совершило преступление, и если лицо пыталось сбежать или не имеет места жительства или его личность не установлена». В качестве цели задержания указано «наличие достаточных оснований подозревать, что лицо совершило преступление». В примечаниях указано, что «задержанное лицо помещено в изолятор временного содержания Министерства внутренних дел Узбекистана».</w:t>
      </w:r>
    </w:p>
    <w:bookmarkStart w:id="37" w:name="arrestrecord1"/>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86</w:t>
      </w:r>
      <w:r w:rsidRPr="00A35FD2">
        <w:fldChar w:fldCharType="end"/>
      </w:r>
      <w:bookmarkEnd w:id="37"/>
      <w:r>
        <w:t>.  Согласно документу на русском языке, озаглавленному «Протокол о предоставлении задержанному лицу права на телефонный звонок» от 14 июня 2014 г., заявитель воспользовался этим правом, чтобы позвонить своей матери 14 июня 2014 г. с 10:45 по 10:49, чтобы сообщить ей о своём задержании.</w:t>
      </w:r>
    </w:p>
    <w:p w:rsidR="00022850" w:rsidRPr="00A35FD2" w:rsidRDefault="00022850" w:rsidP="00A35FD2">
      <w:pPr>
        <w:pStyle w:val="ECHRPara"/>
      </w:pPr>
      <w:fldSimple w:instr=" SEQ level0 \*arabic ">
        <w:r>
          <w:rPr>
            <w:noProof/>
          </w:rPr>
          <w:t>87</w:t>
        </w:r>
      </w:fldSimple>
      <w:r>
        <w:t>.  В протоколе обыска заявителя, который был составлен на русском языке, говорится, что в ходе обыска при задержании у него изъяли 300 российских рублей и одно металлическое кольцо.</w:t>
      </w:r>
    </w:p>
    <w:p w:rsidR="00022850" w:rsidRPr="00A35FD2" w:rsidRDefault="00022850" w:rsidP="00A35FD2">
      <w:pPr>
        <w:pStyle w:val="ECHRPara"/>
      </w:pPr>
      <w:fldSimple w:instr=" SEQ level0 \*arabic ">
        <w:r>
          <w:rPr>
            <w:noProof/>
          </w:rPr>
          <w:t>88</w:t>
        </w:r>
      </w:fldSimple>
      <w:r>
        <w:t>.  18 июня 2014 г. Главное следственное управление Министерства внутренних дел Узбекистана сообщило отцу заявителя, что его сын, находившийся в розыске и «признанный виновным заочно», был задержан 17 июня 2014 г., помещён под стражу и участвовал в следственных действиях.</w:t>
      </w:r>
    </w:p>
    <w:p w:rsidR="00022850" w:rsidRPr="00A35FD2" w:rsidRDefault="00022850" w:rsidP="00A35FD2">
      <w:pPr>
        <w:pStyle w:val="ECHRPara"/>
      </w:pPr>
      <w:fldSimple w:instr=" SEQ level0 \*arabic ">
        <w:r>
          <w:rPr>
            <w:noProof/>
          </w:rPr>
          <w:t>89</w:t>
        </w:r>
      </w:fldSimple>
      <w:r>
        <w:t xml:space="preserve">.  Согласно переводу на русский язык составленного на узбекском языке документа от 10 февраля 2015 г., следователь Министерства внутренних дел Узбекистана К. запросил в Государственном таможенном комитете Узбекистана информацию о «фактах пересечения государственной границы Узбекистана» заявителем в период с 1 июня по 1 июля 2014 г. В ответе Государственного таможенного комитета Узбекистана от 12 февраля 2015 г., составленном на узбекском языке и переведённом на русский язык, говорится, что в таможенной базе данных не содержится информации о пересечении заявителем границы Узбекистана в период с 1 июня по </w:t>
      </w:r>
      <w:r>
        <w:br/>
        <w:t>1 июля 2014 г. В нём отмечается, что база данных составляется на основании письменных заявлений лиц, пересекающих границу, и поэтому может содержать ошибки из-за различий в почерке людей.</w:t>
      </w:r>
    </w:p>
    <w:bookmarkStart w:id="38" w:name="Uzbekinterview"/>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90</w:t>
      </w:r>
      <w:r w:rsidRPr="00A35FD2">
        <w:fldChar w:fldCharType="end"/>
      </w:r>
      <w:bookmarkEnd w:id="38"/>
      <w:r>
        <w:t>.  Согласно протоколу допроса, проведённому 11 февраля 2015 г., К. допросил заявителя в качестве потерпевшего по неуказанному уголовному делу. Допрос проводился на русском языке. В ходе допроса заявитель заявил, что его не задерживали российские власти и что он добровольно покинул Москву, чтобы навестить свою больную мать в Узбекистане. Он заявил, что у него не было с собой никаких документов. По прибытии в Узбекистан он вызвал такси, чтобы добраться до дома матери, но такси сломалось и встало. После того, как он вылез из машины, проходившие поблизости сотрудники милиции попросили его предъявить удостоверение личности. Поскольку у него не имелось такого документа, его отвезли в отделение милиции для установления личности, а затем — задержали. В ответе заявителя на вопрос о его местонахождении в период с 9 по 15 июня 2014 г. говорится следующее:</w:t>
      </w:r>
    </w:p>
    <w:p w:rsidR="00022850" w:rsidRPr="00A35FD2" w:rsidRDefault="00022850" w:rsidP="00A35FD2">
      <w:pPr>
        <w:pStyle w:val="ECHRParaQuote"/>
      </w:pPr>
      <w:r>
        <w:t>«9 июня 2014 г. я был дома, вечером отвёз ребёнка в больницу, потом в районе 21:00 вернулся и оставался дома. Затем, 10 июня 2014 г. я был дома, в районе 23:00 пошёл на железнодорожную станцию и в 00:00 уехал в Узбекистан на автобусе. Ехал примерно 72 часа или немного дольше и 14 июня 2014 г. прибыл на границу Казахстана и Узбекистана, после чего окольными путями пересёк границу и около 7:00 находился на территории Узбекистана, где был задержан сотрудниками правоохранительных органов».</w:t>
      </w:r>
    </w:p>
    <w:p w:rsidR="00022850" w:rsidRPr="00A35FD2" w:rsidRDefault="00022850" w:rsidP="00A35FD2">
      <w:pPr>
        <w:pStyle w:val="ECHRPara"/>
      </w:pPr>
      <w:fldSimple w:instr=" SEQ level0 \*arabic ">
        <w:r>
          <w:rPr>
            <w:noProof/>
          </w:rPr>
          <w:t>91</w:t>
        </w:r>
      </w:fldSimple>
      <w:r>
        <w:t>.  12 февраля 2015 г. следователь К. допросил г-жу И. в качестве свидетеля. Допрос проводился на русском языке. Г-жа И. заявила, что заявитель добровольно и тайно отправился в Узбекистан на автобусе 10 июня 2014 г., и что она прилетела в Ташкент 13 июня 2014 г.</w:t>
      </w:r>
    </w:p>
    <w:bookmarkStart w:id="39" w:name="Uzbek140614"/>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92</w:t>
      </w:r>
      <w:r w:rsidRPr="00A35FD2">
        <w:fldChar w:fldCharType="end"/>
      </w:r>
      <w:bookmarkEnd w:id="39"/>
      <w:r>
        <w:t>.  12 февраля 2015 г. К. допросил г-на Х. — одного из сотрудников милиции, которые задержали заявителя, в качестве свидетеля. Допрос проводился на русском языке. В ответе на вопрос об обстоятельствах задержания заявителя говорится следующее:</w:t>
      </w:r>
    </w:p>
    <w:p w:rsidR="00022850" w:rsidRPr="00A35FD2" w:rsidRDefault="00022850" w:rsidP="00A35FD2">
      <w:pPr>
        <w:pStyle w:val="ECHRParaQuote"/>
      </w:pPr>
      <w:r>
        <w:t>«14 июня 2014 г. примерно в 7:30 в Яккасарайском районе г. Ташкента г-н Хамидкариев был остановлен с целью проверки удостоверения личности, однако, поскольку у него не оказалось при себе документов, он был доставлен районный отдел внутренних дел Яккасарайского района, где было установлено, что г-н Хамидкариев находится в розыске; соответственно, г-н Хамидкариев был доставлен к лицу, объявившему его в розыск, в изолятор временного содержания Министерства внутренних дел Узбекистана, где были заполнены необходимые документы».</w:t>
      </w:r>
    </w:p>
    <w:p w:rsidR="00022850" w:rsidRPr="00A35FD2" w:rsidRDefault="00022850" w:rsidP="00A35FD2">
      <w:pPr>
        <w:pStyle w:val="ECHRPara"/>
      </w:pPr>
      <w:fldSimple w:instr=" SEQ level0 \*arabic ">
        <w:r>
          <w:rPr>
            <w:noProof/>
          </w:rPr>
          <w:t>93</w:t>
        </w:r>
      </w:fldSimple>
      <w:r>
        <w:t xml:space="preserve">.  В неуказанную дату К. составил отчёт о действиях, выполненных в рамках запроса об оказании взаимной правовой помощи. Согласно данному отчёту, следователь допросил г-жу И., </w:t>
      </w:r>
      <w:r>
        <w:br/>
        <w:t>г-на Х. и заявителя, получил копии документов, касающихся задержания заявителя, запросил информацию о пересечении границы и указал двух мужчин, предположительно связанных с заявителем, которые с ноября 2014 г. сражаются на стороне ИГИЛ в Сирии.</w:t>
      </w:r>
    </w:p>
    <w:bookmarkStart w:id="40" w:name="ND4"/>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94</w:t>
      </w:r>
      <w:r w:rsidRPr="00A35FD2">
        <w:fldChar w:fldCharType="end"/>
      </w:r>
      <w:bookmarkEnd w:id="40"/>
      <w:r>
        <w:t xml:space="preserve">.  Власти также представили два документа на узбекском языке, датированные 14 июня 2014 г.: копию первой страницы паспорта </w:t>
      </w:r>
      <w:r>
        <w:br/>
        <w:t>г-жи И. и выдержку из Уголовного кодекса Узбекистана с текстом части 1 статьи 244² на русском языке. Данная статья предусматривает следующее: «создание, руководство, участие в религиозных экстремистских, сепаратистских, фундаменталистских или иных запрещённых организациях наказывается лишением свободы от пяти до пятнадцати лет».</w:t>
      </w:r>
    </w:p>
    <w:p w:rsidR="00022850" w:rsidRPr="00A35FD2" w:rsidRDefault="00022850" w:rsidP="00A35FD2">
      <w:pPr>
        <w:pStyle w:val="ECHRHeading1"/>
      </w:pPr>
      <w:r>
        <w:t>II.  ОТЧЁТЫ ПО УЗБЕКИСТАНУ, ПОДГОТОВЛЕННЫЕ МЕЖДУНАРОДНЫМИ НЕПРАВИТЕЛЬСТВЕННЫМИ ПРАВОЗАЩИТНЫМИ ОРГАНИЗАЦИЯМИ</w:t>
      </w:r>
    </w:p>
    <w:p w:rsidR="00022850" w:rsidRPr="00A35FD2" w:rsidRDefault="00022850" w:rsidP="00A35FD2">
      <w:pPr>
        <w:pStyle w:val="ECHRPara"/>
      </w:pPr>
      <w:fldSimple w:instr=" SEQ level0 \*arabic ">
        <w:r>
          <w:rPr>
            <w:noProof/>
          </w:rPr>
          <w:t>95</w:t>
        </w:r>
      </w:fldSimple>
      <w:r>
        <w:t>.  Выдержки из соответствующих отчётов по Узбекистану, подготовленных органами ООН и международными неправительственными правозащитными организациями в период до 2014 г., см. в постановлении Европейского Суда от 26 июня 2014 г. по делу «Эгамбердиев против России» [</w:t>
      </w:r>
      <w:r>
        <w:rPr>
          <w:i/>
        </w:rPr>
        <w:t>Egamberdiyev v. Russia</w:t>
      </w:r>
      <w:r>
        <w:t>] (жалоба № 34742/13, § 31—34).</w:t>
      </w:r>
    </w:p>
    <w:bookmarkStart w:id="41" w:name="UN"/>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96</w:t>
      </w:r>
      <w:r w:rsidRPr="00A35FD2">
        <w:fldChar w:fldCharType="end"/>
      </w:r>
      <w:bookmarkEnd w:id="41"/>
      <w:r>
        <w:t>.  В соответствующих частях «Заключительных замечаний по четвёртому периодическому докладу Узбекистана» (CCPR/C/UZB/CO/4), приятных Комитетом по правам человека ООН 20 июля 2015 г., говорится следующее:</w:t>
      </w:r>
    </w:p>
    <w:p w:rsidR="00022850" w:rsidRPr="00A35FD2" w:rsidRDefault="00022850" w:rsidP="00A35FD2">
      <w:pPr>
        <w:pStyle w:val="ECHRParaQuote"/>
      </w:pPr>
      <w:r>
        <w:t>«</w:t>
      </w:r>
      <w:r>
        <w:rPr>
          <w:b/>
        </w:rPr>
        <w:t>Чрезвычайное положение и борьба с терроризмом</w:t>
      </w:r>
    </w:p>
    <w:p w:rsidR="00022850" w:rsidRPr="00A35FD2" w:rsidRDefault="00022850" w:rsidP="00A35FD2">
      <w:pPr>
        <w:pStyle w:val="ECHRParaQuote"/>
      </w:pPr>
      <w:r>
        <w:t>11. Комитет, отмечая, что подготовлен проект закона о чрезвычайном положении, по-прежнему испытывает озабоченность (см. CCPR/C/UZB/CO/3, пункт 9) в связи с тем, что существующие регламентации о чрезвычайном положении не сообразуются со статьёй 4 Пакта. Он также по-прежнему испытывает озабоченность (CCPR/C/UZB/CO/3, пункт 15): а) в связи с чересчур широким определением терроризма и террористической деятельности, которое, как сообщается, широко используется для обвинения и преследования членов или подозреваемых членов запрещённых исламских движений; b) в связи с правовыми гарантиями для лиц, подозреваемых либо обвиняемых в терроризме или в смежных преступлениях, и в связи с утверждениями о содержании в режиме строгой изоляции, пытках и продолжительных сроках тюремного заключения в бесчеловечных и унижающих достоинство условиях в отношении таких лиц (статьи 4, 7, 9, 10, 14, 18 и 19). &lt;…&gt;</w:t>
      </w:r>
    </w:p>
    <w:p w:rsidR="00022850" w:rsidRPr="00A35FD2" w:rsidRDefault="00022850" w:rsidP="00A35FD2">
      <w:pPr>
        <w:pStyle w:val="ECHRParaQuote"/>
        <w:rPr>
          <w:b/>
        </w:rPr>
      </w:pPr>
      <w:r>
        <w:rPr>
          <w:b/>
        </w:rPr>
        <w:t>Случаи смерти в заключении</w:t>
      </w:r>
    </w:p>
    <w:p w:rsidR="00022850" w:rsidRPr="00A35FD2" w:rsidRDefault="00022850" w:rsidP="00A35FD2">
      <w:pPr>
        <w:pStyle w:val="ECHRParaQuote"/>
      </w:pPr>
      <w:r>
        <w:t>12. Комитет испытывает озабоченность в связи с сообщениями о случаях смерти в заключении и об отказе в адекватной медицинской помощи. Он испытывает также озабоченность в связи с отсутствием эффективных и независимых расследований по таким случаям (статьи 2 и 6). &lt;…&gt;</w:t>
      </w:r>
    </w:p>
    <w:p w:rsidR="00022850" w:rsidRPr="00A35FD2" w:rsidRDefault="00022850" w:rsidP="00A35FD2">
      <w:pPr>
        <w:pStyle w:val="ECHRParaQuote"/>
        <w:rPr>
          <w:b/>
        </w:rPr>
      </w:pPr>
      <w:r>
        <w:rPr>
          <w:b/>
        </w:rPr>
        <w:t>Пытки</w:t>
      </w:r>
    </w:p>
    <w:p w:rsidR="00022850" w:rsidRPr="00A35FD2" w:rsidRDefault="00022850" w:rsidP="00A35FD2">
      <w:pPr>
        <w:pStyle w:val="ECHRParaQuote"/>
      </w:pPr>
      <w:r>
        <w:t>13. Комитет по-прежнему испытывает озабоченность в связи с тем, что определение пыток, содержащееся в уголовном законодательстве, включая статью 235 Уголовного кодекса, не отвечает требованиям статьи 7 Пакта, ибо оно ограничивается незаконными актами, совершаемыми с целью принудить к даче показаний, и поэтому на практике это сводится к актам пыток, совершаемым лицом, проводящим предварительное дознание либо досудебное следствие, прокурором или другим работником правоохранительного органа, и оборачивается безнаказанностью других лиц, включая задержанных и заключённых. Комитет испытывает также озабоченность в связи с тем, что государство-участник по-прежнему предоставляет амнистии лицам, осуждённым по статье 235 Уголовного кодекса за пытки или истязания (статьи 2 и 7). &lt;…&gt;</w:t>
      </w:r>
    </w:p>
    <w:p w:rsidR="00022850" w:rsidRPr="00A35FD2" w:rsidRDefault="00022850" w:rsidP="00A35FD2">
      <w:pPr>
        <w:pStyle w:val="ECHRParaQuote"/>
      </w:pPr>
      <w:r>
        <w:t>14. Комитет по-прежнему испытывает озабоченность в связи с сообщениями о том, что во всей системе уголовной юстиции по-прежнему регулярно практикуются пытки; что, несмотря на существующий правовой запрет, в суде используются в качестве доказательств вынужденные признания; и что судьи не назначают расследований в связи с утверждениями о вынужденных признаниях даже при наличии очевидных признаков пыток; что лица, жалующиеся на пытки, подвергаются репрессиям, а члены их семей часто сталкиваются с запугиваниями и угрозами с целью заставить их забрать свои жалобы; и что очень невелики масштабы преследований и превалирует безнаказанность (статьи 2, 7 и 14). &lt;…&gt;</w:t>
      </w:r>
    </w:p>
    <w:p w:rsidR="00022850" w:rsidRPr="00A35FD2" w:rsidRDefault="00022850" w:rsidP="00A35FD2">
      <w:pPr>
        <w:pStyle w:val="ECHRParaQuote"/>
        <w:rPr>
          <w:b/>
        </w:rPr>
      </w:pPr>
      <w:r>
        <w:rPr>
          <w:b/>
        </w:rPr>
        <w:t>Свобода и личная неприкосновенность</w:t>
      </w:r>
    </w:p>
    <w:p w:rsidR="00022850" w:rsidRPr="00A35FD2" w:rsidRDefault="00022850" w:rsidP="00A35FD2">
      <w:pPr>
        <w:pStyle w:val="ECHRParaQuote"/>
      </w:pPr>
      <w:r>
        <w:t xml:space="preserve">15. Комитет по-прежнему испытывает озабоченность в связи с тем, что государство-участник продолжает подвергать лиц, подозреваемых в совершении правонарушения, задержанию сроком на 72 часа до их доставки к судье, и поэтому приветствует заявление государства-участника о том, что в будущем продолжительность содержания под стражей может быть сокращена до </w:t>
      </w:r>
      <w:r>
        <w:br/>
        <w:t>48 часов. Он испытывает также озабоченность в связи с изъянами в применении законодательства, регулирующего судебный контроль над задержанием (habeas corpus), на практике, и в частности в связи с утверждениями: а) о фальсификации времени или даты задержания, чтобы обойти законный срок задержания; b) о проведении слушаний по процедуре habeas corpus в отсутствие задержанного, особенно по делам с политической подоплёкой; с) о нарушениях права задержанных на адвоката, и в том числе адвоката по своему выбору; и d) о ненадлежащем юридическом представительстве со стороны адвокатов, назначаемых государством (статьи 9 и 14)».</w:t>
      </w:r>
    </w:p>
    <w:bookmarkStart w:id="42" w:name="HRW"/>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97</w:t>
      </w:r>
      <w:r w:rsidRPr="00A35FD2">
        <w:fldChar w:fldCharType="end"/>
      </w:r>
      <w:bookmarkEnd w:id="42"/>
      <w:r>
        <w:t>.  В посвящённой Узбекистану части «Всемирного доклада» Human Rights Watch за 2015 год говорится следующее:</w:t>
      </w:r>
    </w:p>
    <w:p w:rsidR="00022850" w:rsidRPr="00A35FD2" w:rsidRDefault="00022850" w:rsidP="00A35FD2">
      <w:pPr>
        <w:pStyle w:val="ECHRParaQuote"/>
        <w:rPr>
          <w:b/>
          <w:bCs/>
        </w:rPr>
      </w:pPr>
      <w:r>
        <w:rPr>
          <w:b/>
          <w:bCs/>
        </w:rPr>
        <w:t>«Лишение свободы и притеснения критиков власти</w:t>
      </w:r>
      <w:bookmarkStart w:id="43" w:name="889379"/>
      <w:bookmarkEnd w:id="43"/>
    </w:p>
    <w:p w:rsidR="00022850" w:rsidRPr="00A35FD2" w:rsidRDefault="00022850" w:rsidP="00A35FD2">
      <w:pPr>
        <w:pStyle w:val="ECHRParaQuote"/>
      </w:pPr>
      <w:r>
        <w:t>Ради сохранения репрессивного режима правительство держит за решёткой по политически мотивированным обвинениям тысячи человек — правозащитников и оппозиционных активистов, журналистов, верующих, деятелей культуры и других предполагаемых критиков власти.</w:t>
      </w:r>
    </w:p>
    <w:p w:rsidR="00022850" w:rsidRPr="00A35FD2" w:rsidRDefault="00022850" w:rsidP="00A35FD2">
      <w:pPr>
        <w:pStyle w:val="ECHRParaQuote"/>
      </w:pPr>
      <w:r>
        <w:t>&lt;…&gt;</w:t>
      </w:r>
    </w:p>
    <w:p w:rsidR="00022850" w:rsidRPr="00A35FD2" w:rsidRDefault="00022850" w:rsidP="00A35FD2">
      <w:pPr>
        <w:pStyle w:val="ECHRParaQuote"/>
        <w:rPr>
          <w:b/>
          <w:bCs/>
        </w:rPr>
      </w:pPr>
      <w:r>
        <w:rPr>
          <w:b/>
          <w:bCs/>
        </w:rPr>
        <w:t>Уголовное судопроизводство и пытки</w:t>
      </w:r>
      <w:bookmarkStart w:id="44" w:name="5f08d5"/>
      <w:bookmarkEnd w:id="44"/>
    </w:p>
    <w:p w:rsidR="00022850" w:rsidRPr="00A35FD2" w:rsidRDefault="00022850" w:rsidP="00A35FD2">
      <w:pPr>
        <w:pStyle w:val="ECHRParaQuote"/>
      </w:pPr>
      <w:r>
        <w:t>В ноябре 2013 г. Комитет ООН против пыток, ссылаясь на различные решения Европейского суда, признал, что „использование пыток и жестокого обращения в отношении лиц помещённых под стражу в Узбекистане является „систематическим“, „безнаказанным“ и „поощряемым“ сотрудниками правоохранительных органов и служб безопасности». Применяемые методы включают избиение дубинками и пластиковыми бутылками с водой, подвешивание за запястья и лодыжки, изнасилование, сексуальные унижения.</w:t>
      </w:r>
    </w:p>
    <w:p w:rsidR="00022850" w:rsidRPr="00A35FD2" w:rsidRDefault="00022850" w:rsidP="00A35FD2">
      <w:pPr>
        <w:pStyle w:val="ECHRParaQuote"/>
      </w:pPr>
      <w:r>
        <w:t>Несмотря на введение властями в 2008 г. habeas corpus, ощутимого улучшения ситуации ни с борьбой с применением пыток в местах досудебного содержания под стражей, ни с соблюдением процессуальных прав задержанных не наблюдалось. Власти обыденно отказывают задержанным и заключённым в доступе к адвокату, а контролируемая государством адвокатская ассоциация дисквалифицирует тех, кто берётся за политически чувствительные дела».</w:t>
      </w:r>
    </w:p>
    <w:bookmarkStart w:id="45" w:name="AI"/>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98</w:t>
      </w:r>
      <w:r w:rsidRPr="00A35FD2">
        <w:fldChar w:fldCharType="end"/>
      </w:r>
      <w:bookmarkEnd w:id="45"/>
      <w:r>
        <w:t>.  В соответствующих частях главы доклада Amnesty International за 2015/16 годы, посвящённой Узбекистану, говорится следующее:</w:t>
      </w:r>
    </w:p>
    <w:p w:rsidR="00022850" w:rsidRPr="00A35FD2" w:rsidRDefault="00022850" w:rsidP="00A35FD2">
      <w:pPr>
        <w:pStyle w:val="ECHRParaQuote"/>
        <w:rPr>
          <w:b/>
        </w:rPr>
      </w:pPr>
      <w:r>
        <w:t>«</w:t>
      </w:r>
      <w:r>
        <w:rPr>
          <w:b/>
        </w:rPr>
        <w:t>Пытки и другие виды жестокого обращения</w:t>
      </w:r>
    </w:p>
    <w:p w:rsidR="00022850" w:rsidRPr="00A35FD2" w:rsidRDefault="00022850" w:rsidP="00A35FD2">
      <w:pPr>
        <w:pStyle w:val="ECHRParaQuote"/>
      </w:pPr>
      <w:r>
        <w:t>Милиция и сотрудники Службы национальной безопасности (СНБ) продолжали регулярно применять пытки и другие виды жестокого обращения для выбивания признаний в преступлениях и инкриминирующих показаний из подозреваемых и задержанных, включая женщин и мужчин, которые обвинялись в уголовных правонарушениях, таких как кражи, мошенничество и убийство. Особенно велика угроза пыток была для людей, находящихся под стражей по обвинениям в преступлениях против государства и преступлениях, связанных с терроризмом. Часто задержанных пытали люди в масках.</w:t>
      </w:r>
    </w:p>
    <w:p w:rsidR="00022850" w:rsidRPr="00A35FD2" w:rsidRDefault="00022850" w:rsidP="00A35FD2">
      <w:pPr>
        <w:pStyle w:val="ECHRParaQuote"/>
      </w:pPr>
      <w:r>
        <w:t>Сотрудники милиции и СНБ постоянно привлекали осуждённых к тому, чтобы те пытали и подвергали жестокому обращению лиц, арестованных до суда. Согласно Уголовному кодексу, осуждённых, в отличие от должностных лиц, нельзя привлечь к ответственности за пытки, а только за менее значительные преступления. Один бывший арестованный рассказывал, что сам был свидетелем того, как сотрудники и осуждённые пытали мужчин и женщин в комнатах для допросов следственного изолятора СНБ, а также в туалетах, душевых, карцерах и специально оборудованных пыточных с мягкими резиновыми стенами и звукоизоляцией. По его словам, сотрудники СНБ приковывали арестованных наручниками к батареям и ломали им кости бейсбольными битами.</w:t>
      </w:r>
    </w:p>
    <w:p w:rsidR="00022850" w:rsidRPr="00A35FD2" w:rsidRDefault="00022850" w:rsidP="00A35FD2">
      <w:pPr>
        <w:pStyle w:val="ECHRParaQuote"/>
      </w:pPr>
      <w:r>
        <w:t>Суды при вынесении приговоров по-прежнему во многом полагались на признания, полученные под пытками. Даже при наличии убедительных доказательств судьи постоянно игнорировали либо отказывались рассматривать как безосновательные утверждения подсудимых о пытках и жестоком обращении.</w:t>
      </w:r>
    </w:p>
    <w:p w:rsidR="00022850" w:rsidRPr="00A35FD2" w:rsidRDefault="00022850" w:rsidP="00A35FD2">
      <w:pPr>
        <w:pStyle w:val="ECHRParaQuote"/>
      </w:pPr>
      <w:r>
        <w:t>Двое мужчин, приговорённых в 2014 году к 10 годам тюремного заключения каждый за предполагаемое членство в запрещённой исламистской партии, утверждали в суде, что силовики пытали их, прижимая их руки и ноги к раскалённой печке, чтобы те подписали ложные признания. Один из подсудимых говорил судье, что сотрудники силовых ведомств вырывали ему ногти на руках и ногах. Судья не стал проверять утверждения о пытках и оставил признания в числе доказательств.</w:t>
      </w:r>
    </w:p>
    <w:p w:rsidR="00022850" w:rsidRPr="00A35FD2" w:rsidRDefault="00022850" w:rsidP="00A35FD2">
      <w:pPr>
        <w:pStyle w:val="ECHRParaQuote"/>
      </w:pPr>
      <w:r>
        <w:t>&lt;…&gt;</w:t>
      </w:r>
    </w:p>
    <w:p w:rsidR="00022850" w:rsidRPr="00A35FD2" w:rsidRDefault="00022850" w:rsidP="00A35FD2">
      <w:pPr>
        <w:pStyle w:val="ECHRParaQuote"/>
        <w:rPr>
          <w:b/>
        </w:rPr>
      </w:pPr>
      <w:r>
        <w:rPr>
          <w:b/>
        </w:rPr>
        <w:t>Борьба с терроризмом и общественная безопасность</w:t>
      </w:r>
    </w:p>
    <w:p w:rsidR="00022850" w:rsidRPr="00A35FD2" w:rsidRDefault="00022850" w:rsidP="00A35FD2">
      <w:pPr>
        <w:pStyle w:val="ECHRParaQuote"/>
      </w:pPr>
      <w:r>
        <w:t>Власти с возросшей подозрительностью относились к трудовым мигрантам, которые возвращались из-за рубежа, где могли получить информацию об исламе, цензурируемую либо запрещённую в Узбекистане. Вследствие этого увеличилось число арестов и уголовных преследований за „экстремизм“. По мнению властей, в России трудовых мигрантов обрабатывали вербовщики из ИДУ, ИГ и прочих организаций, считающихся экстремистскими.</w:t>
      </w:r>
    </w:p>
    <w:p w:rsidR="00022850" w:rsidRPr="00A35FD2" w:rsidRDefault="00022850" w:rsidP="00A35FD2">
      <w:pPr>
        <w:pStyle w:val="ECHRParaQuote"/>
      </w:pPr>
      <w:r>
        <w:t>В ноябре силовики провели спецоперации в столице Ташкенте и ещё нескольких регионах страны, в ходе которых были задержаны десятки трудовых мигрантов, вернувшихся из России и Турции. Звучали спорные утверждения, что они принадлежали к запрещённой исламистской партии „Хизб ут-Тахрир“ (организация запрещена в РФ) и имели связи с членами ИГ в Сирии. Как сообщали правозащитники, сотрудники силовых ведомств пытками выбивали из них признания.</w:t>
      </w:r>
    </w:p>
    <w:bookmarkStart w:id="46" w:name="AI1"/>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99</w:t>
      </w:r>
      <w:r w:rsidRPr="00A35FD2">
        <w:fldChar w:fldCharType="end"/>
      </w:r>
      <w:bookmarkEnd w:id="46"/>
      <w:r>
        <w:t>.  В апреле 2015 г. Amnesty International опубликовала доклад «Тайны и ложь: Признания, полученные под пытками в Узбекистане», в котором говорится, в частности, следующее:</w:t>
      </w:r>
    </w:p>
    <w:p w:rsidR="00022850" w:rsidRPr="00A35FD2" w:rsidRDefault="00022850" w:rsidP="00A35FD2">
      <w:pPr>
        <w:pStyle w:val="ECHRParaQuote"/>
      </w:pPr>
      <w:r>
        <w:t>«Пытки глубоко укоренены в системе уголовного правосудия Узбекистана. Сотрудники силовых структур применяют пытки как к мужчинам и женщинам, обвиняющимся в таких уголовных преступлениях, как кражи или убийства, так и к лицам, которые попали в немилость у властей, в том числе бывшим чиновникам, сотрудникам милиции и предпринимателям. При этом за последние 15 лет всё чаще особенно уязвимыми для пыток и других видов жестокого обращения становились мужчины и женщины, которых обвиняли или признавали виновными в „антигосударственных“ и связанных с террористической деятельностью преступлениях. В частности, это касается мусульман, посещающих мечети, неподконтрольные государству или те, где проповедуют независимые имамы, а также реальных или предполагаемых членов оппозиционных политических партий и запрещённых мусульманских движений или исламистских организаций и партий, в общем, всех тех, кого власти считают угрозой для национальной или региональной безопасности».</w:t>
      </w:r>
    </w:p>
    <w:p w:rsidR="00022850" w:rsidRPr="00A35FD2" w:rsidRDefault="00022850" w:rsidP="00A35FD2">
      <w:pPr>
        <w:pStyle w:val="ECHRTitle1"/>
      </w:pPr>
      <w:r>
        <w:t>ВОПРОСЫ ПРАВА</w:t>
      </w:r>
    </w:p>
    <w:p w:rsidR="00022850" w:rsidRPr="00A35FD2" w:rsidRDefault="00022850" w:rsidP="00A35FD2">
      <w:pPr>
        <w:pStyle w:val="ECHRHeading1"/>
      </w:pPr>
      <w:r>
        <w:t>I.  СОБЛЮДЕНИЕ СТАТЬИ 38 КОНВЕНЦИИ</w:t>
      </w:r>
    </w:p>
    <w:p w:rsidR="00022850" w:rsidRPr="00A35FD2" w:rsidRDefault="00022850" w:rsidP="00A35FD2">
      <w:pPr>
        <w:pStyle w:val="ECHRPara"/>
        <w:keepNext/>
        <w:keepLines/>
        <w:rPr>
          <w:snapToGrid w:val="0"/>
        </w:rPr>
      </w:pPr>
      <w:r w:rsidRPr="00A35FD2">
        <w:rPr>
          <w:rFonts w:eastAsia="MS Gothic"/>
        </w:rPr>
        <w:fldChar w:fldCharType="begin"/>
      </w:r>
      <w:r w:rsidRPr="00A35FD2">
        <w:rPr>
          <w:rFonts w:eastAsia="MS Gothic"/>
        </w:rPr>
        <w:instrText xml:space="preserve"> SEQ level0 \*arabic </w:instrText>
      </w:r>
      <w:r w:rsidRPr="00A35FD2">
        <w:rPr>
          <w:rFonts w:eastAsia="MS Gothic"/>
        </w:rPr>
        <w:fldChar w:fldCharType="separate"/>
      </w:r>
      <w:r>
        <w:rPr>
          <w:rFonts w:eastAsia="MS Gothic"/>
          <w:noProof/>
        </w:rPr>
        <w:t>100</w:t>
      </w:r>
      <w:r w:rsidRPr="00A35FD2">
        <w:rPr>
          <w:rFonts w:eastAsia="MS Gothic"/>
        </w:rPr>
        <w:fldChar w:fldCharType="end"/>
      </w:r>
      <w:r>
        <w:t>.  Хотя структура постановлений Европейского Суда традиционно отражает нумерацию статей Конвенции, нередко Европейский Суд в первую очередь рассматривает вопрос о соблюдении Властями процессуального обязательства по статье 38 Конвенции, в особенности в тех случаях, когда отказ Властей представить запрашиваемые документы может привести Европейский Суд к отрицательному заключению (см. постановление Европейского Суда от 24 июля 2014 г. по делу «Хусейн (Абу Зубайда) против Польши» [</w:t>
      </w:r>
      <w:r>
        <w:rPr>
          <w:i/>
        </w:rPr>
        <w:t>Husayn (Abu Zubaydah) v. Poland</w:t>
      </w:r>
      <w:r>
        <w:t>], жалоба № 7511/13, пункт 338).</w:t>
      </w:r>
    </w:p>
    <w:p w:rsidR="00022850" w:rsidRPr="00A35FD2" w:rsidRDefault="00022850" w:rsidP="00A35FD2">
      <w:pPr>
        <w:pStyle w:val="ECHRPara"/>
        <w:rPr>
          <w:i/>
          <w:szCs w:val="24"/>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101</w:t>
      </w:r>
      <w:r w:rsidRPr="00A35FD2">
        <w:rPr>
          <w:snapToGrid w:val="0"/>
        </w:rPr>
        <w:fldChar w:fldCharType="end"/>
      </w:r>
      <w:r>
        <w:rPr>
          <w:snapToGrid w:val="0"/>
        </w:rPr>
        <w:t>.  </w:t>
      </w:r>
      <w:r>
        <w:t xml:space="preserve">Учитывая непредставление Властями всех материалов уголовного дела, возбуждённого по факту похищения заявителя (см. выше, пункты </w:t>
      </w:r>
      <w:r w:rsidRPr="00A35FD2">
        <w:rPr>
          <w:rFonts w:eastAsia="MS Gothic"/>
        </w:rPr>
        <w:fldChar w:fldCharType="begin"/>
      </w:r>
      <w:r w:rsidRPr="00A35FD2">
        <w:rPr>
          <w:rFonts w:eastAsia="MS Gothic"/>
        </w:rPr>
        <w:instrText xml:space="preserve"> REF comq \h </w:instrText>
      </w:r>
      <w:r w:rsidRPr="00A35FD2">
        <w:rPr>
          <w:rFonts w:eastAsia="MS Gothic"/>
        </w:rPr>
      </w:r>
      <w:r w:rsidRPr="00A35FD2">
        <w:rPr>
          <w:rFonts w:eastAsia="MS Gothic"/>
        </w:rPr>
        <w:fldChar w:fldCharType="separate"/>
      </w:r>
      <w:r>
        <w:rPr>
          <w:noProof/>
        </w:rPr>
        <w:t>5</w:t>
      </w:r>
      <w:r w:rsidRPr="00A35FD2">
        <w:rPr>
          <w:rFonts w:eastAsia="MS Gothic"/>
        </w:rPr>
        <w:fldChar w:fldCharType="end"/>
      </w:r>
      <w:r>
        <w:t xml:space="preserve">, </w:t>
      </w:r>
      <w:r w:rsidRPr="00A35FD2">
        <w:rPr>
          <w:rFonts w:eastAsia="MS Gothic"/>
        </w:rPr>
        <w:fldChar w:fldCharType="begin"/>
      </w:r>
      <w:r w:rsidRPr="00A35FD2">
        <w:rPr>
          <w:rFonts w:eastAsia="MS Gothic"/>
        </w:rPr>
        <w:instrText xml:space="preserve"> REF recomq \h </w:instrText>
      </w:r>
      <w:r w:rsidRPr="00A35FD2">
        <w:rPr>
          <w:rFonts w:eastAsia="MS Gothic"/>
        </w:rPr>
      </w:r>
      <w:r w:rsidRPr="00A35FD2">
        <w:rPr>
          <w:rFonts w:eastAsia="MS Gothic"/>
        </w:rPr>
        <w:fldChar w:fldCharType="separate"/>
      </w:r>
      <w:r>
        <w:rPr>
          <w:noProof/>
        </w:rPr>
        <w:t>6</w:t>
      </w:r>
      <w:r w:rsidRPr="00A35FD2">
        <w:rPr>
          <w:rFonts w:eastAsia="MS Gothic"/>
        </w:rPr>
        <w:fldChar w:fldCharType="end"/>
      </w:r>
      <w:r>
        <w:t xml:space="preserve">, </w:t>
      </w:r>
      <w:r w:rsidRPr="00A35FD2">
        <w:rPr>
          <w:rFonts w:eastAsia="MS Gothic"/>
        </w:rPr>
        <w:fldChar w:fldCharType="begin"/>
      </w:r>
      <w:r w:rsidRPr="00A35FD2">
        <w:rPr>
          <w:rFonts w:eastAsia="MS Gothic"/>
        </w:rPr>
        <w:instrText xml:space="preserve"> REF ND1 \h </w:instrText>
      </w:r>
      <w:r w:rsidRPr="00A35FD2">
        <w:rPr>
          <w:rFonts w:eastAsia="MS Gothic"/>
        </w:rPr>
      </w:r>
      <w:r w:rsidRPr="00A35FD2">
        <w:rPr>
          <w:rFonts w:eastAsia="MS Gothic"/>
        </w:rPr>
        <w:fldChar w:fldCharType="separate"/>
      </w:r>
      <w:r>
        <w:rPr>
          <w:noProof/>
        </w:rPr>
        <w:t>67</w:t>
      </w:r>
      <w:r w:rsidRPr="00A35FD2">
        <w:rPr>
          <w:rFonts w:eastAsia="MS Gothic"/>
        </w:rPr>
        <w:fldChar w:fldCharType="end"/>
      </w:r>
      <w:r>
        <w:t xml:space="preserve"> и </w:t>
      </w:r>
      <w:r w:rsidRPr="00A35FD2">
        <w:rPr>
          <w:rFonts w:eastAsia="MS Gothic"/>
        </w:rPr>
        <w:fldChar w:fldCharType="begin"/>
      </w:r>
      <w:r w:rsidRPr="00A35FD2">
        <w:rPr>
          <w:rFonts w:eastAsia="MS Gothic"/>
        </w:rPr>
        <w:instrText xml:space="preserve"> REF p69 \h </w:instrText>
      </w:r>
      <w:r w:rsidRPr="00A35FD2">
        <w:rPr>
          <w:rFonts w:eastAsia="MS Gothic"/>
        </w:rPr>
      </w:r>
      <w:r w:rsidRPr="00A35FD2">
        <w:rPr>
          <w:rFonts w:eastAsia="MS Gothic"/>
        </w:rPr>
        <w:fldChar w:fldCharType="separate"/>
      </w:r>
      <w:r>
        <w:rPr>
          <w:noProof/>
        </w:rPr>
        <w:t>69</w:t>
      </w:r>
      <w:r w:rsidRPr="00A35FD2">
        <w:rPr>
          <w:rFonts w:eastAsia="MS Gothic"/>
        </w:rPr>
        <w:fldChar w:fldCharType="end"/>
      </w:r>
      <w:r>
        <w:t>—</w:t>
      </w:r>
      <w:r w:rsidRPr="00A35FD2">
        <w:rPr>
          <w:rFonts w:eastAsia="MS Gothic"/>
        </w:rPr>
        <w:fldChar w:fldCharType="begin"/>
      </w:r>
      <w:r w:rsidRPr="00A35FD2">
        <w:rPr>
          <w:rFonts w:eastAsia="MS Gothic"/>
        </w:rPr>
        <w:instrText xml:space="preserve"> REF ND4 \h </w:instrText>
      </w:r>
      <w:r w:rsidRPr="00A35FD2">
        <w:rPr>
          <w:rFonts w:eastAsia="MS Gothic"/>
        </w:rPr>
      </w:r>
      <w:r w:rsidRPr="00A35FD2">
        <w:rPr>
          <w:rFonts w:eastAsia="MS Gothic"/>
        </w:rPr>
        <w:fldChar w:fldCharType="separate"/>
      </w:r>
      <w:r>
        <w:rPr>
          <w:noProof/>
        </w:rPr>
        <w:t>94</w:t>
      </w:r>
      <w:r w:rsidRPr="00A35FD2">
        <w:rPr>
          <w:rFonts w:eastAsia="MS Gothic"/>
        </w:rPr>
        <w:fldChar w:fldCharType="end"/>
      </w:r>
      <w:r>
        <w:t xml:space="preserve"> настоящего постановления), Европейский Суд считает целесообразным начать рассмотрение данного дела с вопроса о том, выполнили ли Власти своё процессуальное обязательство в соответствии со статьёй 38 Конвенции, которая гласит:</w:t>
      </w:r>
    </w:p>
    <w:p w:rsidR="00022850" w:rsidRPr="00A35FD2" w:rsidRDefault="00022850" w:rsidP="00A35FD2">
      <w:pPr>
        <w:pStyle w:val="ECHRParaQuote"/>
      </w:pPr>
      <w:r>
        <w:t>«Суд рассматривает дело с участием представителей сторон и, если это необходимо, предпринимает расследование обстоятельств дела, для эффективного проведения которого участвующие в нем Высокие Договаривающиеся Стороны создают все необходимые условия».</w:t>
      </w:r>
    </w:p>
    <w:p w:rsidR="00022850" w:rsidRPr="00A35FD2" w:rsidRDefault="00022850" w:rsidP="00A35FD2">
      <w:pPr>
        <w:pStyle w:val="ECHRHeading2"/>
      </w:pPr>
      <w:r>
        <w:t>А.  Доводы сторон</w:t>
      </w:r>
    </w:p>
    <w:p w:rsidR="00022850" w:rsidRPr="00A35FD2" w:rsidRDefault="00022850" w:rsidP="00A35FD2">
      <w:pPr>
        <w:pStyle w:val="ECHRPara"/>
      </w:pPr>
      <w:fldSimple w:instr=" SEQ level0 \*arabic ">
        <w:r>
          <w:rPr>
            <w:noProof/>
          </w:rPr>
          <w:t>102</w:t>
        </w:r>
      </w:fldSimple>
      <w:r>
        <w:t>.  Власти не представили никаких материалов в ответ на вопрос Европейского Суда о том, соблюли ли они статью 38 Конвенции.</w:t>
      </w:r>
    </w:p>
    <w:p w:rsidR="00022850" w:rsidRPr="00A35FD2" w:rsidRDefault="00022850" w:rsidP="00A35FD2">
      <w:pPr>
        <w:pStyle w:val="ECHRPara"/>
      </w:pPr>
      <w:fldSimple w:instr=" SEQ level0 \*arabic ">
        <w:r>
          <w:rPr>
            <w:noProof/>
          </w:rPr>
          <w:t>103</w:t>
        </w:r>
      </w:fldSimple>
      <w:r>
        <w:t>.  Заявитель не прокомментировал содержание письма Властей от 15 мая 2015 г.</w:t>
      </w:r>
    </w:p>
    <w:p w:rsidR="00022850" w:rsidRPr="00A35FD2" w:rsidRDefault="00022850" w:rsidP="00A35FD2">
      <w:pPr>
        <w:pStyle w:val="ECHRHeading2"/>
      </w:pPr>
      <w:r>
        <w:t>Б.  Оценка обстоятельств дела, данная Европейским Судом</w:t>
      </w:r>
    </w:p>
    <w:p w:rsidR="00022850" w:rsidRPr="00A35FD2" w:rsidRDefault="00022850" w:rsidP="00A35FD2">
      <w:pPr>
        <w:pStyle w:val="ECHRPara"/>
      </w:pPr>
      <w:fldSimple w:instr=" SEQ level0 \*arabic ">
        <w:r>
          <w:rPr>
            <w:noProof/>
          </w:rPr>
          <w:t>104</w:t>
        </w:r>
      </w:fldSimple>
      <w:r>
        <w:t xml:space="preserve">.  Европейский Суд рассмотрит данный вопрос с учётом общих принципов его прецедентной практики, касающейся статьи 38 Конвенции, которые кратко резюмируются, например, в </w:t>
      </w:r>
      <w:r>
        <w:br/>
        <w:t>пунктах 352—356 упомянутого выше постановления Европейского Суда по делу «Хусейн (Абу Зубайда) против Польши».</w:t>
      </w:r>
    </w:p>
    <w:p w:rsidR="00022850" w:rsidRPr="00A35FD2" w:rsidRDefault="00022850" w:rsidP="00A35FD2">
      <w:pPr>
        <w:pStyle w:val="ECHRPara"/>
        <w:rPr>
          <w:noProof/>
        </w:rPr>
      </w:pPr>
      <w:fldSimple w:instr=" SEQ level0 \*arabic ">
        <w:r>
          <w:rPr>
            <w:noProof/>
          </w:rPr>
          <w:t>105</w:t>
        </w:r>
      </w:fldSimple>
      <w:r>
        <w:t>.  Европейский Суд отмечает, что фактические обстоятельства настоящего дела являются непростыми. Они являются противоречивыми и вызывают у сторон споры, и достоверную картину произошедшего можно было бы установить только при условии полноценного сотрудничества со стороны Властей государства-ответчика в соответствии со статьёй 38 Конвенции (см. постановление Европейского Суда от 3 октября 2013 г. по делу «Низомхон Джураев против России» [</w:t>
      </w:r>
      <w:r>
        <w:rPr>
          <w:i/>
        </w:rPr>
        <w:t>Nizomkhon Dzhurayev v. Russia</w:t>
      </w:r>
      <w:r>
        <w:t>], жалоба № 31890/11, пункт 163).</w:t>
      </w:r>
    </w:p>
    <w:p w:rsidR="00022850" w:rsidRPr="00A35FD2" w:rsidRDefault="00022850" w:rsidP="00A35FD2">
      <w:pPr>
        <w:pStyle w:val="ECHRPara"/>
      </w:pPr>
      <w:r w:rsidRPr="00A35FD2">
        <w:rPr>
          <w:szCs w:val="24"/>
        </w:rPr>
        <w:fldChar w:fldCharType="begin"/>
      </w:r>
      <w:r w:rsidRPr="00A35FD2">
        <w:rPr>
          <w:szCs w:val="24"/>
        </w:rPr>
        <w:instrText xml:space="preserve"> SEQ level0 \*arabic </w:instrText>
      </w:r>
      <w:r w:rsidRPr="00A35FD2">
        <w:rPr>
          <w:szCs w:val="24"/>
        </w:rPr>
        <w:fldChar w:fldCharType="separate"/>
      </w:r>
      <w:r>
        <w:rPr>
          <w:noProof/>
          <w:szCs w:val="24"/>
        </w:rPr>
        <w:t>106</w:t>
      </w:r>
      <w:r w:rsidRPr="00A35FD2">
        <w:rPr>
          <w:szCs w:val="24"/>
        </w:rPr>
        <w:fldChar w:fldCharType="end"/>
      </w:r>
      <w:r>
        <w:t xml:space="preserve">.  Европейский Суд не раз направлял Властям государства-ответчика подробные вопросы о фактических обстоятельствах дела и запрашивал у них соответствующие документы национальных органов власти (см. выше, пункты </w:t>
      </w:r>
      <w:r w:rsidRPr="00A35FD2">
        <w:rPr>
          <w:szCs w:val="24"/>
        </w:rPr>
        <w:fldChar w:fldCharType="begin"/>
      </w:r>
      <w:r w:rsidRPr="00A35FD2">
        <w:rPr>
          <w:szCs w:val="24"/>
        </w:rPr>
        <w:instrText xml:space="preserve"> REF R39 \h </w:instrText>
      </w:r>
      <w:r w:rsidRPr="00A35FD2">
        <w:rPr>
          <w:szCs w:val="24"/>
        </w:rPr>
      </w:r>
      <w:r w:rsidRPr="00A35FD2">
        <w:rPr>
          <w:szCs w:val="24"/>
        </w:rPr>
        <w:fldChar w:fldCharType="separate"/>
      </w:r>
      <w:r>
        <w:rPr>
          <w:noProof/>
        </w:rPr>
        <w:t>4</w:t>
      </w:r>
      <w:r w:rsidRPr="00A35FD2">
        <w:rPr>
          <w:szCs w:val="24"/>
        </w:rPr>
        <w:fldChar w:fldCharType="end"/>
      </w:r>
      <w:r>
        <w:t>—</w:t>
      </w:r>
      <w:r w:rsidRPr="00A35FD2">
        <w:rPr>
          <w:szCs w:val="24"/>
        </w:rPr>
        <w:fldChar w:fldCharType="begin"/>
      </w:r>
      <w:r w:rsidRPr="00A35FD2">
        <w:rPr>
          <w:szCs w:val="24"/>
        </w:rPr>
        <w:instrText xml:space="preserve"> REF recomq \h </w:instrText>
      </w:r>
      <w:r w:rsidRPr="00A35FD2">
        <w:rPr>
          <w:szCs w:val="24"/>
        </w:rPr>
      </w:r>
      <w:r w:rsidRPr="00A35FD2">
        <w:rPr>
          <w:szCs w:val="24"/>
        </w:rPr>
        <w:fldChar w:fldCharType="separate"/>
      </w:r>
      <w:r>
        <w:rPr>
          <w:noProof/>
        </w:rPr>
        <w:t>6</w:t>
      </w:r>
      <w:r w:rsidRPr="00A35FD2">
        <w:rPr>
          <w:szCs w:val="24"/>
        </w:rPr>
        <w:fldChar w:fldCharType="end"/>
      </w:r>
      <w:r>
        <w:t xml:space="preserve"> настоящего постановления). Власти без объяснения причин предпочли не выполнять эти запросы (см. выше, пункты </w:t>
      </w:r>
      <w:r w:rsidRPr="00A35FD2">
        <w:rPr>
          <w:szCs w:val="24"/>
        </w:rPr>
        <w:fldChar w:fldCharType="begin"/>
      </w:r>
      <w:r w:rsidRPr="00A35FD2">
        <w:rPr>
          <w:szCs w:val="24"/>
        </w:rPr>
        <w:instrText xml:space="preserve"> REF ND1 \h </w:instrText>
      </w:r>
      <w:r w:rsidRPr="00A35FD2">
        <w:rPr>
          <w:szCs w:val="24"/>
        </w:rPr>
      </w:r>
      <w:r w:rsidRPr="00A35FD2">
        <w:rPr>
          <w:szCs w:val="24"/>
        </w:rPr>
        <w:fldChar w:fldCharType="separate"/>
      </w:r>
      <w:r>
        <w:rPr>
          <w:noProof/>
        </w:rPr>
        <w:t>67</w:t>
      </w:r>
      <w:r w:rsidRPr="00A35FD2">
        <w:rPr>
          <w:szCs w:val="24"/>
        </w:rPr>
        <w:fldChar w:fldCharType="end"/>
      </w:r>
      <w:r>
        <w:t xml:space="preserve"> и </w:t>
      </w:r>
      <w:r w:rsidRPr="00A35FD2">
        <w:rPr>
          <w:szCs w:val="24"/>
        </w:rPr>
        <w:fldChar w:fldCharType="begin"/>
      </w:r>
      <w:r w:rsidRPr="00A35FD2">
        <w:rPr>
          <w:szCs w:val="24"/>
        </w:rPr>
        <w:instrText xml:space="preserve"> REF p69 \h </w:instrText>
      </w:r>
      <w:r w:rsidRPr="00A35FD2">
        <w:rPr>
          <w:szCs w:val="24"/>
        </w:rPr>
      </w:r>
      <w:r w:rsidRPr="00A35FD2">
        <w:rPr>
          <w:szCs w:val="24"/>
        </w:rPr>
        <w:fldChar w:fldCharType="separate"/>
      </w:r>
      <w:r>
        <w:rPr>
          <w:noProof/>
        </w:rPr>
        <w:t>69</w:t>
      </w:r>
      <w:r w:rsidRPr="00A35FD2">
        <w:rPr>
          <w:szCs w:val="24"/>
        </w:rPr>
        <w:fldChar w:fldCharType="end"/>
      </w:r>
      <w:r>
        <w:t>—</w:t>
      </w:r>
      <w:r w:rsidRPr="00A35FD2">
        <w:rPr>
          <w:szCs w:val="24"/>
        </w:rPr>
        <w:fldChar w:fldCharType="begin"/>
      </w:r>
      <w:r w:rsidRPr="00A35FD2">
        <w:rPr>
          <w:szCs w:val="24"/>
        </w:rPr>
        <w:instrText xml:space="preserve"> REF ND4 \h </w:instrText>
      </w:r>
      <w:r w:rsidRPr="00A35FD2">
        <w:rPr>
          <w:szCs w:val="24"/>
        </w:rPr>
      </w:r>
      <w:r w:rsidRPr="00A35FD2">
        <w:rPr>
          <w:szCs w:val="24"/>
        </w:rPr>
        <w:fldChar w:fldCharType="separate"/>
      </w:r>
      <w:r>
        <w:rPr>
          <w:noProof/>
        </w:rPr>
        <w:t>94</w:t>
      </w:r>
      <w:r w:rsidRPr="00A35FD2">
        <w:rPr>
          <w:szCs w:val="24"/>
        </w:rPr>
        <w:fldChar w:fldCharType="end"/>
      </w:r>
      <w:r>
        <w:t xml:space="preserve"> настоящего постановления).</w:t>
      </w:r>
    </w:p>
    <w:p w:rsidR="00022850" w:rsidRPr="00A35FD2" w:rsidRDefault="00022850" w:rsidP="00A35FD2">
      <w:pPr>
        <w:pStyle w:val="ECHRPara"/>
        <w:rPr>
          <w:szCs w:val="24"/>
        </w:rPr>
      </w:pPr>
      <w:r w:rsidRPr="00A35FD2">
        <w:rPr>
          <w:szCs w:val="24"/>
        </w:rPr>
        <w:fldChar w:fldCharType="begin"/>
      </w:r>
      <w:r w:rsidRPr="00A35FD2">
        <w:rPr>
          <w:szCs w:val="24"/>
        </w:rPr>
        <w:instrText xml:space="preserve"> SEQ level0 \*arabic </w:instrText>
      </w:r>
      <w:r w:rsidRPr="00A35FD2">
        <w:rPr>
          <w:szCs w:val="24"/>
        </w:rPr>
        <w:fldChar w:fldCharType="separate"/>
      </w:r>
      <w:r>
        <w:rPr>
          <w:noProof/>
          <w:szCs w:val="24"/>
        </w:rPr>
        <w:t>107</w:t>
      </w:r>
      <w:r w:rsidRPr="00A35FD2">
        <w:rPr>
          <w:szCs w:val="24"/>
        </w:rPr>
        <w:fldChar w:fldCharType="end"/>
      </w:r>
      <w:r>
        <w:t xml:space="preserve">.  Европейский Суд напоминает, что статья 38 Конвенции требует от государства-ответчика представлять запрошенные материалы в полном объёме, если этого потребует Европейский Суд, и указывать уважительные причины непредставления отсутствующих документов. Власти не выполнили этого обязательства, тем самым ещё более усложнив рассмотрение настоящего дела Европейским Судом. По мнению Европейского Суда, отсутствие содействия со стороны Властей по столь важному вопросу свидетельствует о нежелании властей установить истину в отношении обстоятельств дела </w:t>
      </w:r>
      <w:r>
        <w:br/>
        <w:t>(см. упомянутое выше постановление Европейского Суда по делу «Низомхон Джураев против России», § 164, а также содержащиеся в нём ссылки).</w:t>
      </w:r>
    </w:p>
    <w:p w:rsidR="00022850" w:rsidRPr="00A35FD2" w:rsidRDefault="00022850" w:rsidP="00A35FD2">
      <w:pPr>
        <w:pStyle w:val="ECHRPara"/>
        <w:rPr>
          <w:szCs w:val="24"/>
        </w:rPr>
      </w:pPr>
      <w:r w:rsidRPr="00A35FD2">
        <w:rPr>
          <w:szCs w:val="24"/>
        </w:rPr>
        <w:fldChar w:fldCharType="begin"/>
      </w:r>
      <w:r w:rsidRPr="00A35FD2">
        <w:rPr>
          <w:szCs w:val="24"/>
        </w:rPr>
        <w:instrText xml:space="preserve"> SEQ level0 \*arabic </w:instrText>
      </w:r>
      <w:r w:rsidRPr="00A35FD2">
        <w:rPr>
          <w:szCs w:val="24"/>
        </w:rPr>
        <w:fldChar w:fldCharType="separate"/>
      </w:r>
      <w:r>
        <w:rPr>
          <w:noProof/>
          <w:szCs w:val="24"/>
        </w:rPr>
        <w:t>108</w:t>
      </w:r>
      <w:r w:rsidRPr="00A35FD2">
        <w:rPr>
          <w:szCs w:val="24"/>
        </w:rPr>
        <w:fldChar w:fldCharType="end"/>
      </w:r>
      <w:r>
        <w:t>.  С учётом вышеизложенного Европейский Суд приходит к заключению, что Власти не соблюли своего обязательства по созданию всех необходимых условий для установления Европейским Судом фактических обстоятельств дела, как того требует статья 38. Европейский Суд сделает все выводы, которые сочтёт необходимыми, в отношении обоснованности утверждений заявителя по существу.</w:t>
      </w:r>
    </w:p>
    <w:bookmarkStart w:id="47" w:name="A38"/>
    <w:p w:rsidR="00022850" w:rsidRPr="00A35FD2" w:rsidRDefault="00022850" w:rsidP="00A35FD2">
      <w:pPr>
        <w:pStyle w:val="ECHRPara"/>
        <w:rPr>
          <w:szCs w:val="24"/>
        </w:rPr>
      </w:pPr>
      <w:r w:rsidRPr="00A35FD2">
        <w:rPr>
          <w:szCs w:val="24"/>
        </w:rPr>
        <w:fldChar w:fldCharType="begin"/>
      </w:r>
      <w:r w:rsidRPr="00A35FD2">
        <w:rPr>
          <w:szCs w:val="24"/>
        </w:rPr>
        <w:instrText xml:space="preserve"> SEQ level0 \*arabic </w:instrText>
      </w:r>
      <w:r w:rsidRPr="00A35FD2">
        <w:rPr>
          <w:szCs w:val="24"/>
        </w:rPr>
        <w:fldChar w:fldCharType="separate"/>
      </w:r>
      <w:r>
        <w:rPr>
          <w:noProof/>
          <w:szCs w:val="24"/>
        </w:rPr>
        <w:t>109</w:t>
      </w:r>
      <w:r w:rsidRPr="00A35FD2">
        <w:rPr>
          <w:szCs w:val="24"/>
        </w:rPr>
        <w:fldChar w:fldCharType="end"/>
      </w:r>
      <w:bookmarkEnd w:id="47"/>
      <w:r>
        <w:t>.  Соответственно, Европейский Суд приходит к выводу о том, что непредставление Властями в Европейский Суд соответствующих сведений и документов представляет собой пренебрежение ими своим обязательством по сотрудничеству с Европейским Судом, как того требует статья 38 Конвенции.</w:t>
      </w:r>
    </w:p>
    <w:p w:rsidR="00022850" w:rsidRPr="00A35FD2" w:rsidRDefault="00022850" w:rsidP="00A35FD2">
      <w:pPr>
        <w:pStyle w:val="ECHRHeading1"/>
      </w:pPr>
      <w:r>
        <w:t>II.  УСТАНОВЛЕНИЕ ФАКТИЧЕСКИХ ОБСТОЯТЕЛЬСТВ ДЕЛА</w:t>
      </w:r>
    </w:p>
    <w:p w:rsidR="00022850" w:rsidRPr="00A35FD2" w:rsidRDefault="00022850" w:rsidP="00A35FD2">
      <w:pPr>
        <w:pStyle w:val="ECHRPara"/>
      </w:pPr>
      <w:fldSimple w:instr=" SEQ level0 \*arabic ">
        <w:r>
          <w:rPr>
            <w:noProof/>
          </w:rPr>
          <w:t>110</w:t>
        </w:r>
      </w:fldSimple>
      <w:r>
        <w:t>.  Европейский Суд отмечает, что обе стороны настоящего дела представили крайне фрагментарную информацию о его фактических обстоятельствах.</w:t>
      </w:r>
    </w:p>
    <w:p w:rsidR="00022850" w:rsidRPr="00A35FD2" w:rsidRDefault="00022850" w:rsidP="00A35FD2">
      <w:pPr>
        <w:pStyle w:val="ECHRHeading2"/>
      </w:pPr>
      <w:r>
        <w:t>А.  Доводы сторон</w:t>
      </w:r>
    </w:p>
    <w:p w:rsidR="00022850" w:rsidRPr="00A35FD2" w:rsidRDefault="00022850" w:rsidP="00A35FD2">
      <w:pPr>
        <w:pStyle w:val="ECHRHeading3"/>
      </w:pPr>
      <w:r>
        <w:t>1.  Доводы, представленные Европейскому Суду представителем заявителя</w:t>
      </w:r>
    </w:p>
    <w:p w:rsidR="00022850" w:rsidRPr="00A35FD2" w:rsidRDefault="00022850" w:rsidP="00A35FD2">
      <w:pPr>
        <w:pStyle w:val="ECHRPara"/>
      </w:pPr>
      <w:fldSimple w:instr=" SEQ level0 \*arabic ">
        <w:r>
          <w:rPr>
            <w:noProof/>
          </w:rPr>
          <w:t>111</w:t>
        </w:r>
      </w:fldSimple>
      <w:r>
        <w:t xml:space="preserve">.  Представитель заявителя изложил описание заявителем событий 9 июня 2014 г., в устной форме переданное ему 31 октября и </w:t>
      </w:r>
      <w:r>
        <w:br/>
        <w:t xml:space="preserve">3 ноября 2014 г. в зале суда в Ташкенте (см. выше, пункты </w:t>
      </w:r>
      <w:fldSimple w:instr=" REF representative \h  \* MERGEFORMAT ">
        <w:r w:rsidRPr="0007533F">
          <w:t>27</w:t>
        </w:r>
      </w:fldSimple>
      <w:r>
        <w:t>—</w:t>
      </w:r>
      <w:fldSimple w:instr=" REF representative1 \h  \* MERGEFORMAT ">
        <w:r w:rsidRPr="0007533F">
          <w:t>30</w:t>
        </w:r>
      </w:fldSimple>
      <w:r>
        <w:t xml:space="preserve"> настоящего постановления), следующим образом.</w:t>
      </w:r>
    </w:p>
    <w:p w:rsidR="00022850" w:rsidRPr="00A35FD2" w:rsidRDefault="00022850" w:rsidP="00A35FD2">
      <w:pPr>
        <w:pStyle w:val="ECHRPara"/>
      </w:pPr>
      <w:fldSimple w:instr=" SEQ level0 \*arabic ">
        <w:r>
          <w:rPr>
            <w:noProof/>
          </w:rPr>
          <w:t>112</w:t>
        </w:r>
      </w:fldSimple>
      <w:r>
        <w:t>.  9 июня 2014 г. в 19:00 заявитель был похищен «Тимуром» и «Захаром» — сотрудниками ФСБ, с которыми он до этого встречался в ноябре 2011 г. Во время похищения они надели на голову заявителя мешок. Затем они отвезли заявителя в некий дом, связали его и сняли с головы мешок. Сотрудники ФСБ избили заявителя и держали его в этом доме до следующего дня.</w:t>
      </w:r>
    </w:p>
    <w:p w:rsidR="00022850" w:rsidRPr="00A35FD2" w:rsidRDefault="00022850" w:rsidP="00A35FD2">
      <w:pPr>
        <w:pStyle w:val="ECHRPara"/>
      </w:pPr>
      <w:fldSimple w:instr=" SEQ level0 \*arabic ">
        <w:r>
          <w:rPr>
            <w:noProof/>
          </w:rPr>
          <w:t>113</w:t>
        </w:r>
      </w:fldSimple>
      <w:r>
        <w:t>.  10 июня 2014 г. «Тимур» и «Захар» отвезли заявителя на взлётно-посадочную полосу одного из аэропортов Москвы без прохождения пограничного или паспортного контроля, поскольку паспорт заявителя остался в УФМС по г. Москве. Сотрудники ФСБ передали заявителя узбекским силовикам около трапа самолёта, направлявшегося в Ташкент.</w:t>
      </w:r>
    </w:p>
    <w:p w:rsidR="00022850" w:rsidRPr="00A35FD2" w:rsidRDefault="00022850" w:rsidP="00A35FD2">
      <w:pPr>
        <w:pStyle w:val="ECHRPara"/>
      </w:pPr>
      <w:fldSimple w:instr=" SEQ level0 \*arabic ">
        <w:r>
          <w:rPr>
            <w:noProof/>
          </w:rPr>
          <w:t>114</w:t>
        </w:r>
      </w:fldSimple>
      <w:r>
        <w:t>.  По прибытии в Узбекистан заявитель был помещён под стражу Главным следственным управлением Министерства внутренних дел Узбекистана и подвергался жестокому обращению со стороны сотрудников правоохранительных органов в течение двух месяцев с целью получения самоизобличительных показаний. Заявителя привязывали вниз головой к решётке, прикреплённой к стене, и подвергали систематическим избиениям. Сотрудники узбекских правоохранительных органов сломали заявителю два ребра и выбили семь зубов.</w:t>
      </w:r>
    </w:p>
    <w:p w:rsidR="00022850" w:rsidRPr="00A35FD2" w:rsidRDefault="00022850" w:rsidP="00A35FD2">
      <w:pPr>
        <w:pStyle w:val="ECHRHeading3"/>
      </w:pPr>
      <w:r>
        <w:t>2.  Доводы, представленные Европейскому Суду Властями</w:t>
      </w:r>
    </w:p>
    <w:bookmarkStart w:id="48" w:name="OBSG"/>
    <w:bookmarkStart w:id="49" w:name="OBSGEF"/>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115</w:t>
      </w:r>
      <w:r w:rsidRPr="00A35FD2">
        <w:fldChar w:fldCharType="end"/>
      </w:r>
      <w:bookmarkEnd w:id="48"/>
      <w:bookmarkEnd w:id="49"/>
      <w:r>
        <w:t>.  Власти заявили, что из записей с камер видеонаблюдения следовало, что 9 июня 2014 г. около 19:00 заявителя похитили неизвестные люди и увезли на машине в неизвестном направлении. Не было никаких доказательств прямой или косвенной причастности российских властей к предполагаемому похищению заявителя и его перевозке в Узбекистан.</w:t>
      </w:r>
    </w:p>
    <w:p w:rsidR="00022850" w:rsidRPr="00A35FD2" w:rsidRDefault="00022850" w:rsidP="00A35FD2">
      <w:pPr>
        <w:pStyle w:val="ECHRHeading2"/>
      </w:pPr>
      <w:r>
        <w:t>Б.  Оценка обстоятельств дела, данная Европейским Судом</w:t>
      </w:r>
    </w:p>
    <w:bookmarkStart w:id="50" w:name="estf1"/>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116</w:t>
      </w:r>
      <w:r w:rsidRPr="00A35FD2">
        <w:fldChar w:fldCharType="end"/>
      </w:r>
      <w:bookmarkEnd w:id="50"/>
      <w:r>
        <w:t xml:space="preserve">.  На основании скудных материалов, представленных сторонами, Европейский Суд может выделить следующие немногочисленные обстоятельства, которые не оспариваются сторонами. Обе стороны соглашаются с тем, что заявитель был похищен в Москве 9 июня 2014 г. примерно в 19:00 (см. выше, пункты </w:t>
      </w:r>
      <w:r w:rsidRPr="00A35FD2">
        <w:fldChar w:fldCharType="begin"/>
      </w:r>
      <w:r w:rsidRPr="00A35FD2">
        <w:instrText xml:space="preserve"> REF MsIevents \h </w:instrText>
      </w:r>
      <w:r w:rsidRPr="00A35FD2">
        <w:fldChar w:fldCharType="separate"/>
      </w:r>
      <w:r>
        <w:rPr>
          <w:noProof/>
        </w:rPr>
        <w:t>21</w:t>
      </w:r>
      <w:r w:rsidRPr="00A35FD2">
        <w:fldChar w:fldCharType="end"/>
      </w:r>
      <w:r>
        <w:t xml:space="preserve"> и </w:t>
      </w:r>
      <w:r w:rsidRPr="00A35FD2">
        <w:fldChar w:fldCharType="begin"/>
      </w:r>
      <w:r w:rsidRPr="00A35FD2">
        <w:instrText xml:space="preserve"> REF open2 \h </w:instrText>
      </w:r>
      <w:r w:rsidRPr="00A35FD2">
        <w:fldChar w:fldCharType="separate"/>
      </w:r>
      <w:r>
        <w:rPr>
          <w:noProof/>
        </w:rPr>
        <w:t>77</w:t>
      </w:r>
      <w:r w:rsidRPr="00A35FD2">
        <w:fldChar w:fldCharType="end"/>
      </w:r>
      <w:r>
        <w:t xml:space="preserve"> настоящего постановления). Из заявления Властей о том, что заявитель был похищен неустановленными лицами (см. выше, пункт </w:t>
      </w:r>
      <w:r w:rsidRPr="00A35FD2">
        <w:fldChar w:fldCharType="begin"/>
      </w:r>
      <w:r w:rsidRPr="00A35FD2">
        <w:instrText xml:space="preserve"> REF OBSG \h </w:instrText>
      </w:r>
      <w:r w:rsidRPr="00A35FD2">
        <w:fldChar w:fldCharType="separate"/>
      </w:r>
      <w:r>
        <w:rPr>
          <w:noProof/>
        </w:rPr>
        <w:t>115</w:t>
      </w:r>
      <w:r w:rsidRPr="00A35FD2">
        <w:fldChar w:fldCharType="end"/>
      </w:r>
      <w:r>
        <w:t xml:space="preserve"> настоящего постановления), следует, что они признают, что с этого момента его свобода передвижения была ограничена. Таким образом, разумно предположить, что Власти не оспаривают утверждение о том, что заявитель был принудительно вывезен с территории России. Кроме того, стороны не оспаривают, что заявитель был задержан и помещён под стражу в Ташкенте узбекскими властями, но расходятся во мнении относительно даты его задержания (см. выше, пункты </w:t>
      </w:r>
      <w:r w:rsidRPr="00A35FD2">
        <w:fldChar w:fldCharType="begin"/>
      </w:r>
      <w:r w:rsidRPr="00A35FD2">
        <w:instrText xml:space="preserve"> REF notificationUzbek \h </w:instrText>
      </w:r>
      <w:r w:rsidRPr="00A35FD2">
        <w:fldChar w:fldCharType="separate"/>
      </w:r>
      <w:r>
        <w:rPr>
          <w:noProof/>
        </w:rPr>
        <w:t>24</w:t>
      </w:r>
      <w:r w:rsidRPr="00A35FD2">
        <w:fldChar w:fldCharType="end"/>
      </w:r>
      <w:r>
        <w:t xml:space="preserve">, </w:t>
      </w:r>
      <w:r w:rsidRPr="00A35FD2">
        <w:fldChar w:fldCharType="begin"/>
      </w:r>
      <w:r w:rsidRPr="00A35FD2">
        <w:instrText xml:space="preserve"> REF Uzbek180614 \h </w:instrText>
      </w:r>
      <w:r w:rsidRPr="00A35FD2">
        <w:fldChar w:fldCharType="separate"/>
      </w:r>
      <w:r>
        <w:rPr>
          <w:noProof/>
        </w:rPr>
        <w:t>62</w:t>
      </w:r>
      <w:r w:rsidRPr="00A35FD2">
        <w:fldChar w:fldCharType="end"/>
      </w:r>
      <w:r>
        <w:t xml:space="preserve"> и </w:t>
      </w:r>
      <w:r w:rsidRPr="00A35FD2">
        <w:fldChar w:fldCharType="begin"/>
      </w:r>
      <w:r w:rsidRPr="00A35FD2">
        <w:instrText xml:space="preserve"> REF Uzbek140614 \h </w:instrText>
      </w:r>
      <w:r w:rsidRPr="00A35FD2">
        <w:fldChar w:fldCharType="separate"/>
      </w:r>
      <w:r>
        <w:rPr>
          <w:noProof/>
        </w:rPr>
        <w:t>92</w:t>
      </w:r>
      <w:r w:rsidRPr="00A35FD2">
        <w:fldChar w:fldCharType="end"/>
      </w:r>
      <w:r>
        <w:t xml:space="preserve"> настоящего постановления). Власти также не оспаривали утверждение представителя заявителя о том, что заявитель предстал перед Ташкентским городским судом и был признан виновным в совершении преступлений, связанных с религиозным экстремизмом (см. пункт </w:t>
      </w:r>
      <w:r w:rsidRPr="00A35FD2">
        <w:fldChar w:fldCharType="begin"/>
      </w:r>
      <w:r w:rsidRPr="00A35FD2">
        <w:instrText xml:space="preserve"> REF trial \h </w:instrText>
      </w:r>
      <w:r w:rsidRPr="00A35FD2">
        <w:fldChar w:fldCharType="separate"/>
      </w:r>
      <w:r>
        <w:rPr>
          <w:noProof/>
        </w:rPr>
        <w:t>43</w:t>
      </w:r>
      <w:r w:rsidRPr="00A35FD2">
        <w:fldChar w:fldCharType="end"/>
      </w:r>
      <w:r>
        <w:t xml:space="preserve"> настоящего постановления).</w:t>
      </w:r>
    </w:p>
    <w:p w:rsidR="00022850" w:rsidRPr="00A35FD2" w:rsidRDefault="00022850" w:rsidP="00A35FD2">
      <w:pPr>
        <w:pStyle w:val="ECHRPara"/>
      </w:pPr>
      <w:fldSimple w:instr=" SEQ level0 \*arabic ">
        <w:r>
          <w:rPr>
            <w:noProof/>
          </w:rPr>
          <w:t>117</w:t>
        </w:r>
      </w:fldSimple>
      <w:r>
        <w:t>.  Тем не менее, отсутствует ясность по поводу событий, имевших место начиная с 19:00 9 июня 2014 г., в частности по поводу того, как заявитель добрался из России в Узбекистан.</w:t>
      </w:r>
    </w:p>
    <w:p w:rsidR="00022850" w:rsidRPr="00A35FD2" w:rsidRDefault="00022850" w:rsidP="00A35FD2">
      <w:pPr>
        <w:pStyle w:val="ECHRPara"/>
      </w:pPr>
      <w:fldSimple w:instr=" SEQ level0 \*arabic ">
        <w:r>
          <w:rPr>
            <w:noProof/>
          </w:rPr>
          <w:t>118</w:t>
        </w:r>
      </w:fldSimple>
      <w:r>
        <w:t xml:space="preserve">.  При этом Европейский Суд отмечает, что Власти приложили протокол допроса заявителя узбекскими властями без предоставления каких-либо сопроводительных комментариев или объяснений. Согласно этому документу, заявитель приехал из Москвы в Ташкент на автобусе без паспорта (см. выше, пункт </w:t>
      </w:r>
      <w:r w:rsidRPr="00A35FD2">
        <w:fldChar w:fldCharType="begin"/>
      </w:r>
      <w:r w:rsidRPr="00A35FD2">
        <w:instrText xml:space="preserve"> REF Uzbekinterview \h </w:instrText>
      </w:r>
      <w:r w:rsidRPr="00A35FD2">
        <w:fldChar w:fldCharType="separate"/>
      </w:r>
      <w:r>
        <w:rPr>
          <w:noProof/>
        </w:rPr>
        <w:t>90</w:t>
      </w:r>
      <w:r w:rsidRPr="00A35FD2">
        <w:fldChar w:fldCharType="end"/>
      </w:r>
      <w:r>
        <w:t xml:space="preserve"> настоящего постановления). Если истолковать данные действия Властей как молчаливое согласие с объяснениями, представленными в данном документе, Европейский Суд не может признать их в качестве удовлетворительных, так как соответствующий допрос не сопровождался достаточными процессуальными гарантиями защиты от злоупотреблений и произвола.</w:t>
      </w:r>
    </w:p>
    <w:p w:rsidR="00022850" w:rsidRPr="00A35FD2" w:rsidRDefault="00022850" w:rsidP="00A35FD2">
      <w:pPr>
        <w:pStyle w:val="ECHRPara"/>
      </w:pPr>
      <w:fldSimple w:instr=" SEQ level0 \*arabic ">
        <w:r>
          <w:rPr>
            <w:noProof/>
          </w:rPr>
          <w:t>119</w:t>
        </w:r>
      </w:fldSimple>
      <w:r>
        <w:t>.  Европейский Суд напоминает, что он установил ряд общих принципов, применимых в ситуациях, когда он сталкивается с трудностями в установлении фактических обстоятельств дела ввиду противоречий между версиями событий, выдвинутыми сторонами (резюме этих принципов см. в постановлении Большой Палаты Европейского Суда от 13 декабря 2012 г. по делу «Эль-Масри против „Бывшей Югославской Республики Македония“» [</w:t>
      </w:r>
      <w:r>
        <w:rPr>
          <w:i/>
        </w:rPr>
        <w:t>El Masri v. “the former Yugoslav Republic of Macedonia”</w:t>
      </w:r>
      <w:r>
        <w:t xml:space="preserve">], жалоба № 39630/09, </w:t>
      </w:r>
      <w:r>
        <w:br/>
        <w:t>§ 151—153).</w:t>
      </w:r>
    </w:p>
    <w:p w:rsidR="00022850" w:rsidRPr="00A35FD2" w:rsidRDefault="00022850" w:rsidP="00A35FD2">
      <w:pPr>
        <w:pStyle w:val="ECHRPara"/>
      </w:pPr>
      <w:fldSimple w:instr=" SEQ level0 \*arabic ">
        <w:r>
          <w:rPr>
            <w:noProof/>
          </w:rPr>
          <w:t>120</w:t>
        </w:r>
      </w:fldSimple>
      <w:r>
        <w:t>.  В частности, Европейский Суд подтверждает свою неизменную позицию, согласно которой если события, послужившие основанием для жалобы по статьям 2 или 3 Конвенции, находятся исключительно в сфере осведомлённости властей, как в случае лиц, находящихся под их контролем под стражей (см. постановление Большой Палаты Европейского Суда по делу «Салман против Турции» [</w:t>
      </w:r>
      <w:r>
        <w:rPr>
          <w:i/>
        </w:rPr>
        <w:t>Salman v. Turkey</w:t>
      </w:r>
      <w:r>
        <w:t>], жалоба № 21986/93, пункт 100, ECHR 2000</w:t>
      </w:r>
      <w:r>
        <w:noBreakHyphen/>
        <w:t>VII), или если, несмотря на отсутствие доказательств заключения лица под стражу властями, в контексте жалобы на исчезновение по статье 5 Конвенции может быть установлено, что это лицо было в официальном порядке вызвано органами власти, вошло на территорию, находящуюся под их контролем, и с тех пор его никто не видел (см. постановление Европейского Суда по делу «Таныш и другие против Турции» [</w:t>
      </w:r>
      <w:r>
        <w:rPr>
          <w:i/>
        </w:rPr>
        <w:t>Tanış and Others v. Turkey</w:t>
      </w:r>
      <w:r>
        <w:t xml:space="preserve">], </w:t>
      </w:r>
      <w:r>
        <w:br/>
        <w:t>жалоба № 65899/01, пункт 160, ECHR 2005–VIII), то можно считать, что бремя доказывания лежит на властях, которые должны предоставить удовлетворительное и убедительное объяснение.</w:t>
      </w:r>
    </w:p>
    <w:p w:rsidR="00022850" w:rsidRPr="00A35FD2" w:rsidRDefault="00022850" w:rsidP="00A35FD2">
      <w:pPr>
        <w:pStyle w:val="ECHRPara"/>
      </w:pPr>
      <w:fldSimple w:instr=" SEQ level0 \*arabic ">
        <w:r>
          <w:rPr>
            <w:noProof/>
          </w:rPr>
          <w:t>121</w:t>
        </w:r>
      </w:fldSimple>
      <w:r>
        <w:t xml:space="preserve">.  Обращаясь к обстоятельствам настоящего дела, Европейский Суд отмечает, что из-за скудности информации, находящейся в его распоряжении, он не в состоянии с уверенностью установить точные обстоятельства того, как заявитель добрался из Москвы в Ташкент, включая дату прибытия в пункт назначения и использованные транспортные средства. Учитывая, что Власти представили три документа узбекских властей, в которых датой прибытия называется 14 июня 2014 г. (см. выше, пункты </w:t>
      </w:r>
      <w:fldSimple w:instr=" REF arrestrecord \h  \* MERGEFORMAT ">
        <w:r w:rsidRPr="0007533F">
          <w:rPr>
            <w:noProof/>
          </w:rPr>
          <w:t>85</w:t>
        </w:r>
      </w:fldSimple>
      <w:r>
        <w:t>—</w:t>
      </w:r>
      <w:fldSimple w:instr=" REF arrestrecord1 \h  \* MERGEFORMAT ">
        <w:r w:rsidRPr="0007533F">
          <w:rPr>
            <w:noProof/>
          </w:rPr>
          <w:t>86</w:t>
        </w:r>
      </w:fldSimple>
      <w:r>
        <w:t xml:space="preserve"> настоящего постановления), Европейский Суд готов признать, что эта дата, в отсутствие каких-либо других доказательств, является датой прибытия. Что касается транспортных средств, представитель заявителя указал, что заявителя посадили на самолёт в одном из московских аэропортов. Власти никак не прокомментировали этот вопрос. Узбекские власти сочли, что заявитель приехал из Москвы в Ташкент на автобусе.</w:t>
      </w:r>
    </w:p>
    <w:p w:rsidR="00022850" w:rsidRPr="00A35FD2" w:rsidRDefault="00022850" w:rsidP="00A35FD2">
      <w:pPr>
        <w:pStyle w:val="ECHRPara"/>
      </w:pPr>
      <w:fldSimple w:instr=" SEQ level0 \*arabic ">
        <w:r>
          <w:rPr>
            <w:noProof/>
          </w:rPr>
          <w:t>122</w:t>
        </w:r>
      </w:fldSimple>
      <w:r>
        <w:t xml:space="preserve">.  Европейский Суд считает, что из-за скудности имеющейся информации он не может установить точные обстоятельства того, как заявитель добрался из Москвы в Ташкент. Тем не менее, Европейский Суд считает, что для анализа настоящего дела являются важными два следующих обстоятельства: (а) тот факт, что 9 июня 2014 г. у заявителя не имелось паспорта (см. выше, пункт </w:t>
      </w:r>
      <w:fldSimple w:instr=" REF passport1 \h  \* MERGEFORMAT ">
        <w:r w:rsidRPr="0007533F">
          <w:rPr>
            <w:noProof/>
          </w:rPr>
          <w:t>18</w:t>
        </w:r>
      </w:fldSimple>
      <w:r>
        <w:t xml:space="preserve"> настоящего постановления), и (б) тот факт, что чтобы приехать в Ташкент, ему нужно было пересечь государственную границу России тем или иным способом.</w:t>
      </w:r>
    </w:p>
    <w:p w:rsidR="00022850" w:rsidRPr="00A35FD2" w:rsidRDefault="00022850" w:rsidP="00A35FD2">
      <w:pPr>
        <w:pStyle w:val="ECHRPara"/>
      </w:pPr>
      <w:fldSimple w:instr=" SEQ level0 \*arabic ">
        <w:r>
          <w:rPr>
            <w:noProof/>
          </w:rPr>
          <w:t>123</w:t>
        </w:r>
      </w:fldSimple>
      <w:r>
        <w:t>.  Европейский Суд в этой связи отмечает, что ранее он уже приходил к выводу, что насильственное перемещение лица в государство, не являющееся участником Конвенции самолётом из Москвы или близлежащих областей не могло иметь место без знания об этом факте российских властей и без их пассивного или активного участия (см. постановление Европейского Суда от 23 сентября 2010 г. по делу «Искандаров против России» [</w:t>
      </w:r>
      <w:r>
        <w:rPr>
          <w:i/>
        </w:rPr>
        <w:t>Iskandarov v. Russia</w:t>
      </w:r>
      <w:r>
        <w:t xml:space="preserve">], </w:t>
      </w:r>
      <w:r>
        <w:br/>
        <w:t>жалоба № 17185/05, § 113—115; постановление Европейского Суда от 2 октября 2012 г. по делу «Абдулхаков против России» [</w:t>
      </w:r>
      <w:r>
        <w:rPr>
          <w:i/>
        </w:rPr>
        <w:t>Abdulkhakov v. Russia</w:t>
      </w:r>
      <w:r>
        <w:t>], жалоба № 14743/11, § 125—127; а также постановление Европейского Суда от 7 ноября 2013 г. по делу «Ермаков против России» [</w:t>
      </w:r>
      <w:r>
        <w:rPr>
          <w:i/>
        </w:rPr>
        <w:t>Ermakov v. Russia</w:t>
      </w:r>
      <w:r>
        <w:t>], жалоба № 43165/10, пункт 176). В любом аэропорте, обслуживающем международные рейсы, применяются усиленные меры безопасности, а сам такой аэропорт находится под постоянным контролем органов власти государства-ответчика, в частности — государственной пограничной службы (там же; см. также постановление Европейского Суда по делу «Савриддин Джураев против России» [</w:t>
      </w:r>
      <w:r>
        <w:rPr>
          <w:i/>
        </w:rPr>
        <w:t>Savriddin Dzhurayev v. Russia</w:t>
      </w:r>
      <w:r>
        <w:t xml:space="preserve">], жалоба № 71386/10, </w:t>
      </w:r>
      <w:r>
        <w:br/>
        <w:t xml:space="preserve">§ 201—202, ECHR 2013 (извлечения)). Что касается возможности приезда на автобусе, Европейский Суд находит маловероятным, что объявленный в розыск человек (см. выше, пункты </w:t>
      </w:r>
      <w:fldSimple w:instr=" REF relogious \h  \* MERGEFORMAT ">
        <w:r w:rsidRPr="0007533F">
          <w:rPr>
            <w:noProof/>
          </w:rPr>
          <w:t>11</w:t>
        </w:r>
      </w:fldSimple>
      <w:r>
        <w:t xml:space="preserve"> и </w:t>
      </w:r>
      <w:fldSimple w:instr=" REF wanted \h  \* MERGEFORMAT ">
        <w:r w:rsidRPr="0007533F">
          <w:rPr>
            <w:noProof/>
          </w:rPr>
          <w:t>83</w:t>
        </w:r>
      </w:fldSimple>
      <w:r>
        <w:t xml:space="preserve"> настоящего постановления) смог бы проехать 3 400 километров по территории России и Казахстана на автобусе и беспрепятственно пересечь российско-казахстанскую и казахстанско-узбекскую границы без паспорта (см. выше, пункт </w:t>
      </w:r>
      <w:fldSimple w:instr=" REF passport1 \h  \* MERGEFORMAT ">
        <w:r w:rsidRPr="0007533F">
          <w:rPr>
            <w:noProof/>
          </w:rPr>
          <w:t>18</w:t>
        </w:r>
      </w:fldSimple>
      <w:r>
        <w:t xml:space="preserve"> настоящего постановления).</w:t>
      </w:r>
    </w:p>
    <w:p w:rsidR="00022850" w:rsidRPr="00A35FD2" w:rsidRDefault="00022850" w:rsidP="00A35FD2">
      <w:pPr>
        <w:pStyle w:val="ECHRPara"/>
      </w:pPr>
      <w:fldSimple w:instr=" SEQ level0 \*arabic ">
        <w:r>
          <w:rPr>
            <w:noProof/>
          </w:rPr>
          <w:t>124</w:t>
        </w:r>
      </w:fldSimple>
      <w:r>
        <w:t xml:space="preserve">.  Соответственно, Европейский Суд полагает, что возникает обоснованная презумпция причастности российских властей к перемещению заявителя в Узбекистан. Власти, однако, не опровергли этой презумпции. В частности, они не раскрыли списки пассажиров, зарегистрированных на авиарейсы в Ташкент, вылетевших из московских аэропортов после 9 июня 2014 г. (см. выше, пункт </w:t>
      </w:r>
      <w:r w:rsidRPr="00A35FD2">
        <w:fldChar w:fldCharType="begin"/>
      </w:r>
      <w:r w:rsidRPr="00A35FD2">
        <w:instrText xml:space="preserve"> REF estf2 \h </w:instrText>
      </w:r>
      <w:r w:rsidRPr="00A35FD2">
        <w:fldChar w:fldCharType="separate"/>
      </w:r>
      <w:r>
        <w:rPr>
          <w:noProof/>
        </w:rPr>
        <w:t>60</w:t>
      </w:r>
      <w:r w:rsidRPr="00A35FD2">
        <w:fldChar w:fldCharType="end"/>
      </w:r>
      <w:r>
        <w:t xml:space="preserve"> настоящего постановления). Власти также не предоставили никакого объяснения тому, как заявитель мог пересечь российскую границу без паспорта.</w:t>
      </w:r>
    </w:p>
    <w:p w:rsidR="00022850" w:rsidRPr="00A35FD2" w:rsidRDefault="00022850" w:rsidP="00A35FD2">
      <w:pPr>
        <w:pStyle w:val="ECHRPara"/>
      </w:pPr>
      <w:fldSimple w:instr=" SEQ level0 \*arabic ">
        <w:r>
          <w:rPr>
            <w:noProof/>
          </w:rPr>
          <w:t>125</w:t>
        </w:r>
      </w:fldSimple>
      <w:r>
        <w:t>.  В свете вышеизложенного Европейский Суд полагает, что, в то время как заявитель представил достаточно убедительные доказательства того, что он был похищен и вывезен в Узбекистан при прямом или косвенном участии российских властей, Власти не смогли убедительно опровергнуть его утверждения и не предоставили удовлетворительного и убедительного объяснения тому, как заявитель оказался в Ташкенте.</w:t>
      </w:r>
    </w:p>
    <w:bookmarkStart w:id="51" w:name="involvement"/>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126</w:t>
      </w:r>
      <w:r w:rsidRPr="00A35FD2">
        <w:fldChar w:fldCharType="end"/>
      </w:r>
      <w:bookmarkEnd w:id="51"/>
      <w:r>
        <w:t>.  В связи с этим Европейский Суд устанавливает, что российские власти несут ответственность за насильственное перемещение заявителя из Москвы в Ташкент в результате их прямого или косвенного участия в нём. Исходя из этого вывода, Европейский Суд продолжит рассматривать жалобы заявителя по статье 3 Конвенции.</w:t>
      </w:r>
    </w:p>
    <w:p w:rsidR="00022850" w:rsidRPr="00A35FD2" w:rsidRDefault="00022850" w:rsidP="00A35FD2">
      <w:pPr>
        <w:pStyle w:val="ECHRHeading1"/>
      </w:pPr>
      <w:r>
        <w:t>III.  ПО ВОПРОСУ О ПРЕДПОЛАГАЕМОМ НАРУШЕНИИ ТРЕБОВАНИЙ СТАТЬИ 3 КОНВЕНЦИИ</w:t>
      </w:r>
    </w:p>
    <w:p w:rsidR="00022850" w:rsidRPr="00A35FD2" w:rsidRDefault="00022850" w:rsidP="00A35FD2">
      <w:pPr>
        <w:pStyle w:val="ECHRPara"/>
      </w:pPr>
      <w:fldSimple w:instr=" SEQ level0 \*arabic ">
        <w:r>
          <w:rPr>
            <w:noProof/>
          </w:rPr>
          <w:t>127</w:t>
        </w:r>
      </w:fldSimple>
      <w:r>
        <w:t>.  Представитель заявителя утверждал, что было допущено нарушение статьи 3 Конвенции ввиду тайного вывоза заявителя в Узбекистан, который мог иметь место только при активном или пассивном участии российских властей, и что российские власти не провели эффективного расследования по факту похищения. Статья 3 Конвенции гласит:</w:t>
      </w:r>
    </w:p>
    <w:p w:rsidR="00022850" w:rsidRPr="00A35FD2" w:rsidRDefault="00022850" w:rsidP="00A35FD2">
      <w:pPr>
        <w:pStyle w:val="ECHRParaQuote"/>
      </w:pPr>
      <w:r>
        <w:t>«Никто не должен подвергаться ни пыткам, ни бесчеловечному или унижающему достоинство обращению или наказанию».</w:t>
      </w:r>
    </w:p>
    <w:p w:rsidR="00022850" w:rsidRPr="00A35FD2" w:rsidRDefault="00022850" w:rsidP="00A35FD2">
      <w:pPr>
        <w:pStyle w:val="ECHRHeading2"/>
      </w:pPr>
      <w:r>
        <w:t>А.  Доводы сторон</w:t>
      </w:r>
    </w:p>
    <w:p w:rsidR="00022850" w:rsidRPr="00A35FD2" w:rsidRDefault="00022850" w:rsidP="00A35FD2">
      <w:pPr>
        <w:pStyle w:val="ECHRHeading3"/>
      </w:pPr>
      <w:r>
        <w:t>1.  Доводы, представленные Европейскому Суду Властями</w:t>
      </w:r>
    </w:p>
    <w:p w:rsidR="00022850" w:rsidRPr="00A35FD2" w:rsidRDefault="00022850" w:rsidP="00A35FD2">
      <w:pPr>
        <w:pStyle w:val="ECHRPara"/>
      </w:pPr>
      <w:fldSimple w:instr=" SEQ level0 \*arabic ">
        <w:r>
          <w:rPr>
            <w:noProof/>
          </w:rPr>
          <w:t>128</w:t>
        </w:r>
      </w:fldSimple>
      <w:r>
        <w:t xml:space="preserve">.  Власти отрицали причастность российских органов власти к похищению заявителя (см. выше, пункт </w:t>
      </w:r>
      <w:r w:rsidRPr="00A35FD2">
        <w:fldChar w:fldCharType="begin"/>
      </w:r>
      <w:r w:rsidRPr="00A35FD2">
        <w:instrText xml:space="preserve"> REF OBSGEF \h </w:instrText>
      </w:r>
      <w:r w:rsidRPr="00A35FD2">
        <w:fldChar w:fldCharType="separate"/>
      </w:r>
      <w:r>
        <w:rPr>
          <w:noProof/>
        </w:rPr>
        <w:t>115</w:t>
      </w:r>
      <w:r w:rsidRPr="00A35FD2">
        <w:fldChar w:fldCharType="end"/>
      </w:r>
      <w:r>
        <w:t xml:space="preserve"> настоящего постановления).</w:t>
      </w:r>
    </w:p>
    <w:p w:rsidR="00022850" w:rsidRPr="00A35FD2" w:rsidRDefault="00022850" w:rsidP="00A35FD2">
      <w:pPr>
        <w:pStyle w:val="ECHRPara"/>
      </w:pPr>
      <w:fldSimple w:instr=" SEQ level0 \*arabic ">
        <w:r>
          <w:rPr>
            <w:noProof/>
          </w:rPr>
          <w:t>129</w:t>
        </w:r>
      </w:fldSimple>
      <w:r>
        <w:t>.  Власти также заявили, что Министерство транспорта Российской Федерации подтвердило, что в период с 1 июня и 1 августа 2014 г. на имя заявителя не выдавалось авиа- или железнодорожных билетов. Несмотря на конкретную просьбу Европейского Суда, Власти отказалось представить списки пассажиров, зарегистрированных на авиарейсы в Узбекистан с 9 по 12 июня 2014 г., утверждая, что соответствующие списки содержали персональные данные третьих лиц.</w:t>
      </w:r>
    </w:p>
    <w:p w:rsidR="00022850" w:rsidRPr="00A35FD2" w:rsidRDefault="00022850" w:rsidP="00A35FD2">
      <w:pPr>
        <w:pStyle w:val="ECHRPara"/>
      </w:pPr>
      <w:fldSimple w:instr=" SEQ level0 \*arabic ">
        <w:r>
          <w:rPr>
            <w:noProof/>
          </w:rPr>
          <w:t>130</w:t>
        </w:r>
      </w:fldSimple>
      <w:r>
        <w:t>.  Власти также заявили, что российские органы власти не были осведомлены о возможности похищения заявителя вплоть до 9 июня 2014 г.</w:t>
      </w:r>
    </w:p>
    <w:p w:rsidR="00022850" w:rsidRPr="00A35FD2" w:rsidRDefault="00022850" w:rsidP="00A35FD2">
      <w:pPr>
        <w:pStyle w:val="ECHRPara"/>
      </w:pPr>
      <w:fldSimple w:instr=" SEQ level0 \*arabic ">
        <w:r>
          <w:rPr>
            <w:noProof/>
          </w:rPr>
          <w:t>131</w:t>
        </w:r>
      </w:fldSimple>
      <w:r>
        <w:t>.  Наконец, они заявили, что они не могут предоставить какую-либо информацию о ходе разбирательства по уголовному делу в отношении заявителя в Узбекистане, поскольку этот вопрос выходит за рамки юрисдикции российских властей.</w:t>
      </w:r>
    </w:p>
    <w:p w:rsidR="00022850" w:rsidRPr="00A35FD2" w:rsidRDefault="00022850" w:rsidP="00A35FD2">
      <w:pPr>
        <w:pStyle w:val="ECHRHeading3"/>
      </w:pPr>
      <w:r>
        <w:t>2.  Доводы, представленные Европейскому Суду заявителем</w:t>
      </w:r>
    </w:p>
    <w:bookmarkStart w:id="52" w:name="OBSR"/>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132</w:t>
      </w:r>
      <w:r w:rsidRPr="00A35FD2">
        <w:fldChar w:fldCharType="end"/>
      </w:r>
      <w:bookmarkEnd w:id="52"/>
      <w:r>
        <w:t>.  Представитель заявителя указал, что заявитель был насильственно передан представителям узбекских властей сотрудники ФСБ «Тимуром» и «Захаром». Во время содержания под стражей в Узбекистане заявитель подвергался пыткам. Российские власти с опозданием возбудили уголовное дело по факту похищения заявителя и не приняли все необходимые меры для выяснения его обстоятельств в нарушение их процессуального обязательства по статье 3 Конвенции.</w:t>
      </w:r>
    </w:p>
    <w:p w:rsidR="00022850" w:rsidRPr="00A35FD2" w:rsidRDefault="00022850" w:rsidP="00A35FD2">
      <w:pPr>
        <w:pStyle w:val="ECHRHeading2"/>
      </w:pPr>
      <w:r>
        <w:t>Б.  Оценка обстоятельств дела, данная Европейским Судом</w:t>
      </w:r>
    </w:p>
    <w:p w:rsidR="00022850" w:rsidRPr="00A35FD2" w:rsidRDefault="00022850" w:rsidP="00A35FD2">
      <w:pPr>
        <w:pStyle w:val="ECHRHeading3"/>
      </w:pPr>
      <w:r>
        <w:t>1.  Вопрос о приемлемости жалобы для рассмотрения по существу</w:t>
      </w:r>
    </w:p>
    <w:p w:rsidR="00022850" w:rsidRPr="00A35FD2" w:rsidRDefault="00022850" w:rsidP="00A35FD2">
      <w:pPr>
        <w:pStyle w:val="ECHRPara"/>
      </w:pPr>
      <w:fldSimple w:instr=" SEQ level0 \*arabic ">
        <w:r>
          <w:rPr>
            <w:noProof/>
          </w:rPr>
          <w:t>133</w:t>
        </w:r>
      </w:fldSimple>
      <w:r>
        <w:t>.  Европейский Суд отмечает, что в данной части жалоба не является явно необоснованной по смыслу подпункта «a» пункта 3 статьи 35 Конвенции. Суд также отмечает, что жалоба не является неприемлемой по каким-либо иным основаниям. Соответственно, она должна быть признана приемлемой.</w:t>
      </w:r>
    </w:p>
    <w:p w:rsidR="00022850" w:rsidRPr="00A35FD2" w:rsidRDefault="00022850" w:rsidP="00A35FD2">
      <w:pPr>
        <w:pStyle w:val="ECHRHeading3"/>
      </w:pPr>
      <w:r>
        <w:t>2.  Существо жалобы</w:t>
      </w:r>
    </w:p>
    <w:p w:rsidR="00022850" w:rsidRPr="00A35FD2" w:rsidRDefault="00022850" w:rsidP="00A35FD2">
      <w:pPr>
        <w:pStyle w:val="ECHRHeading4"/>
      </w:pPr>
      <w:r>
        <w:t>(а)  Предмет рассмотрения, применимые общие принципы</w:t>
      </w:r>
    </w:p>
    <w:bookmarkStart w:id="53" w:name="generalprinciples"/>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134</w:t>
      </w:r>
      <w:r w:rsidRPr="00A35FD2">
        <w:fldChar w:fldCharType="end"/>
      </w:r>
      <w:bookmarkEnd w:id="53"/>
      <w:r>
        <w:t xml:space="preserve">.  Европейский Суд в первую очередь отмечает, что в его прецедентной практике установлен ряд общих принципов, регулирующих ситуации, в рамках которых имеются существенные основания полагать, что в случае экстрадиции или выдворения иностранца из Договаривающегося государства существует реальная опасность того, что такой иностранец подвергнется в стране назначения обращению, противоречащему статье 3 Конвенции </w:t>
      </w:r>
      <w:r>
        <w:br/>
        <w:t>(см. постановление Большой Палаты Европейского Суда по делу «Саади против Италии» [</w:t>
      </w:r>
      <w:r>
        <w:rPr>
          <w:i/>
          <w:szCs w:val="24"/>
        </w:rPr>
        <w:t>Saadi v. Italy</w:t>
      </w:r>
      <w:r>
        <w:t xml:space="preserve">], жалоба № 37201/06, </w:t>
      </w:r>
      <w:r>
        <w:br/>
        <w:t>§ 124—136, ECHR 2008; постановление Большой Палаты Европейского Суда по делу «Хирси Джамаа и другие против Италии» [</w:t>
      </w:r>
      <w:r>
        <w:rPr>
          <w:i/>
        </w:rPr>
        <w:t>Hirsi Jamaa and Others v. Italy</w:t>
      </w:r>
      <w:r>
        <w:t>], жалоба № 27765/09, § 113—121, ECHR 2012; а также постановление Большой Палаты Европейского Суда от 23 марта 2016 г. по делу «F.G. против Швеции» [</w:t>
      </w:r>
      <w:r>
        <w:rPr>
          <w:i/>
        </w:rPr>
        <w:t>F.G. v. Sweden</w:t>
      </w:r>
      <w:r>
        <w:t>], жалоба № 43611/11, § 111—118, а также содержащиеся в них ссылки).</w:t>
      </w:r>
    </w:p>
    <w:bookmarkStart w:id="54" w:name="cases"/>
    <w:bookmarkStart w:id="55" w:name="cases1"/>
    <w:p w:rsidR="00022850" w:rsidRPr="00A35FD2" w:rsidRDefault="00022850" w:rsidP="00A35FD2">
      <w:pPr>
        <w:pStyle w:val="ECHRPara"/>
        <w:rPr>
          <w:snapToGrid w:val="0"/>
          <w:szCs w:val="24"/>
        </w:rPr>
      </w:pPr>
      <w:r w:rsidRPr="00A35FD2">
        <w:fldChar w:fldCharType="begin"/>
      </w:r>
      <w:r w:rsidRPr="00A35FD2">
        <w:instrText xml:space="preserve"> SEQ level0 \*arabic </w:instrText>
      </w:r>
      <w:r w:rsidRPr="00A35FD2">
        <w:fldChar w:fldCharType="separate"/>
      </w:r>
      <w:r>
        <w:rPr>
          <w:noProof/>
        </w:rPr>
        <w:t>135</w:t>
      </w:r>
      <w:r w:rsidRPr="00A35FD2">
        <w:fldChar w:fldCharType="end"/>
      </w:r>
      <w:bookmarkEnd w:id="54"/>
      <w:bookmarkEnd w:id="55"/>
      <w:r>
        <w:t>.  Европейский Суд также отмечает, что в ряде недавних дел против Российской Федерации он рассматривал относительно новые вопросы по статье 3 Конвенции, связанные с пропажей с территории Российской Федерации заявителей, обвинённых в совершении преступлений по политическим или религиозным мотивам в Узбекистане и Таджикистане (см., в частности, упомянутые выше постановления Европейского Суда по делам «Искандаров против России», «Абдулхаков против России» и «Савриддин Джураев против России»; постановление Европейского Суда от 14 ноября 2013 г. по делу «Касымахунов против России» [</w:t>
      </w:r>
      <w:r>
        <w:rPr>
          <w:i/>
        </w:rPr>
        <w:t>Kasymakhunov v. Russia</w:t>
      </w:r>
      <w:r>
        <w:t xml:space="preserve">], жалоба № 29604/12; а также постановление Европейского Суда от 21 мая </w:t>
      </w:r>
      <w:r>
        <w:br/>
        <w:t>2015 г. по делу «Мухитдинов против России» [</w:t>
      </w:r>
      <w:r>
        <w:rPr>
          <w:i/>
        </w:rPr>
        <w:t>Mukhitdinov v. Russia</w:t>
      </w:r>
      <w:r>
        <w:t>], жалоба № 20999/14).</w:t>
      </w:r>
      <w:r>
        <w:rPr>
          <w:snapToGrid w:val="0"/>
          <w:szCs w:val="24"/>
        </w:rPr>
        <w:t xml:space="preserve"> В данных делах, где Европейский Суд приходил к выводу, что заявители были удалены из-под юрисдикции Договаривающегося государства в нарушение установленных правил, возникали два отдельных вопроса по статье 3 Конвенции: во-первых, предполагаемая ответственность российских властей за пропажу заявителя при непосредственном участии представителей государства или из-за несоблюдения ими позитивного обязательства по защите заявителя от возможности исчезновения; во-вторых, предполагаемое несоблюдение процессуального обязательства по проведению тщательного и эффективного расследования по факту исчезновений. Результат разрешения данных вопросов зависел от наличия в период, относящийся к обстоятельствам дела, обоснованной опасности для заявителя подвергнуться жестокому обращению в стране назначения (см. упомянутое выше постановление Европейского Суда по делу «Ермаков против России», § 192, и упомянутое выше постановление Европейского Суда по делу «Касымахунов против России», § 120).</w:t>
      </w:r>
    </w:p>
    <w:p w:rsidR="00022850" w:rsidRPr="00A35FD2" w:rsidRDefault="00022850" w:rsidP="00A35FD2">
      <w:pPr>
        <w:pStyle w:val="ECHRPara"/>
        <w:rPr>
          <w:i/>
        </w:rPr>
      </w:pPr>
      <w:fldSimple w:instr=" SEQ level0 \*arabic ">
        <w:r>
          <w:rPr>
            <w:noProof/>
          </w:rPr>
          <w:t>136</w:t>
        </w:r>
      </w:fldSimple>
      <w:r>
        <w:t xml:space="preserve">.  Хотя основным вопросом, подлежащим рассмотрению в настоящем деле, является предполагаемое неправомерное перемещение заявителя с территории Российской Федерации, Европейский Суд полагает, что для целей разрешения жалобы по статье 3 Конвенции он должен отклониться от модели, применённой в делах, перечисленных в пункте </w:t>
      </w:r>
      <w:r w:rsidRPr="00A35FD2">
        <w:fldChar w:fldCharType="begin"/>
      </w:r>
      <w:r w:rsidRPr="00A35FD2">
        <w:instrText xml:space="preserve"> REF cases1 \h </w:instrText>
      </w:r>
      <w:r w:rsidRPr="00A35FD2">
        <w:fldChar w:fldCharType="separate"/>
      </w:r>
      <w:r>
        <w:rPr>
          <w:noProof/>
        </w:rPr>
        <w:t>135</w:t>
      </w:r>
      <w:r w:rsidRPr="00A35FD2">
        <w:fldChar w:fldCharType="end"/>
      </w:r>
      <w:r>
        <w:t>, ввиду специфики фактических обстоятельств настоящего дела, перечисленных ниже.</w:t>
      </w:r>
    </w:p>
    <w:p w:rsidR="00022850" w:rsidRPr="00A35FD2" w:rsidRDefault="00022850" w:rsidP="00A35FD2">
      <w:pPr>
        <w:pStyle w:val="ECHRPara"/>
        <w:rPr>
          <w:snapToGrid w:val="0"/>
        </w:rPr>
      </w:pPr>
      <w:fldSimple w:instr=" SEQ level0 \*arabic ">
        <w:r>
          <w:rPr>
            <w:noProof/>
          </w:rPr>
          <w:t>137</w:t>
        </w:r>
      </w:fldSimple>
      <w:r>
        <w:t>.  Во-первых, в момент пропажи заявителя из Москвы он находился в розыске в Узбекистане по подозрению в совершении преступлений, связанных с религиозным экстремизмом. В данном отношении настоящее дело аналогично делам, в которых Европейский Суд устанавливал, что лица, обвиняемые в совершении преступлений по политическим или религиозным мотивам, были насильственно перемещены из России в Узбекистан или Таджикистан (см. постановления Европейского Суда по делам «Абдулхаков против России», «Савриддин Джураев против России», «Ермаков против России», «Касымахунов против России» и «Мухитдинов против России», все из которых упоминались выше).</w:t>
      </w:r>
      <w:r>
        <w:rPr>
          <w:snapToGrid w:val="0"/>
        </w:rPr>
        <w:t xml:space="preserve"> При этом заявители по всем этим делам были перемещены из России уже после подачи соответствующих жалоб и указания Европейским Судом обеспечительных мер Властям Российской Федерации. </w:t>
      </w:r>
      <w:r>
        <w:t xml:space="preserve">В этом заключается их отличие от настоящего дела, в котором заявление о применении обеспечительных мер и сама жалоба были поданы уже после предполагаемого похищения заявителя в Москве (см. выше, пункты </w:t>
      </w:r>
      <w:r w:rsidRPr="00A35FD2">
        <w:rPr>
          <w:snapToGrid w:val="0"/>
        </w:rPr>
        <w:fldChar w:fldCharType="begin"/>
      </w:r>
      <w:r w:rsidRPr="00A35FD2">
        <w:rPr>
          <w:snapToGrid w:val="0"/>
        </w:rPr>
        <w:instrText xml:space="preserve"> REF doi \h </w:instrText>
      </w:r>
      <w:r w:rsidRPr="00A35FD2">
        <w:rPr>
          <w:snapToGrid w:val="0"/>
        </w:rPr>
      </w:r>
      <w:r w:rsidRPr="00A35FD2">
        <w:rPr>
          <w:snapToGrid w:val="0"/>
        </w:rPr>
        <w:fldChar w:fldCharType="separate"/>
      </w:r>
      <w:r>
        <w:rPr>
          <w:noProof/>
        </w:rPr>
        <w:t>1</w:t>
      </w:r>
      <w:r w:rsidRPr="00A35FD2">
        <w:rPr>
          <w:snapToGrid w:val="0"/>
        </w:rPr>
        <w:fldChar w:fldCharType="end"/>
      </w:r>
      <w:r>
        <w:t xml:space="preserve"> и </w:t>
      </w:r>
      <w:r w:rsidRPr="00A35FD2">
        <w:rPr>
          <w:snapToGrid w:val="0"/>
        </w:rPr>
        <w:fldChar w:fldCharType="begin"/>
      </w:r>
      <w:r w:rsidRPr="00A35FD2">
        <w:rPr>
          <w:snapToGrid w:val="0"/>
        </w:rPr>
        <w:instrText xml:space="preserve"> REF R39 \h </w:instrText>
      </w:r>
      <w:r w:rsidRPr="00A35FD2">
        <w:rPr>
          <w:snapToGrid w:val="0"/>
        </w:rPr>
      </w:r>
      <w:r w:rsidRPr="00A35FD2">
        <w:rPr>
          <w:snapToGrid w:val="0"/>
        </w:rPr>
        <w:fldChar w:fldCharType="separate"/>
      </w:r>
      <w:r>
        <w:rPr>
          <w:noProof/>
        </w:rPr>
        <w:t>4</w:t>
      </w:r>
      <w:r w:rsidRPr="00A35FD2">
        <w:rPr>
          <w:snapToGrid w:val="0"/>
        </w:rPr>
        <w:fldChar w:fldCharType="end"/>
      </w:r>
      <w:r>
        <w:t xml:space="preserve"> настоящего постановления).</w:t>
      </w:r>
    </w:p>
    <w:p w:rsidR="00022850" w:rsidRPr="00A35FD2" w:rsidRDefault="00022850" w:rsidP="00A35FD2">
      <w:pPr>
        <w:pStyle w:val="ECHRPara"/>
        <w:rPr>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138</w:t>
      </w:r>
      <w:r w:rsidRPr="00A35FD2">
        <w:rPr>
          <w:snapToGrid w:val="0"/>
        </w:rPr>
        <w:fldChar w:fldCharType="end"/>
      </w:r>
      <w:r>
        <w:rPr>
          <w:snapToGrid w:val="0"/>
        </w:rPr>
        <w:t>.  </w:t>
      </w:r>
      <w:r>
        <w:t xml:space="preserve">Во-вторых, в момент исчезновения заявителя в его отношении в России не было открытого дела об экстрадиции или выдворении </w:t>
      </w:r>
      <w:r>
        <w:br/>
        <w:t xml:space="preserve">(см. выше, пункт </w:t>
      </w:r>
      <w:r w:rsidRPr="00A35FD2">
        <w:rPr>
          <w:snapToGrid w:val="0"/>
        </w:rPr>
        <w:fldChar w:fldCharType="begin"/>
      </w:r>
      <w:r w:rsidRPr="00A35FD2">
        <w:rPr>
          <w:snapToGrid w:val="0"/>
        </w:rPr>
        <w:instrText xml:space="preserve"> REF noextrd \h </w:instrText>
      </w:r>
      <w:r w:rsidRPr="00A35FD2">
        <w:rPr>
          <w:snapToGrid w:val="0"/>
        </w:rPr>
      </w:r>
      <w:r w:rsidRPr="00A35FD2">
        <w:rPr>
          <w:snapToGrid w:val="0"/>
        </w:rPr>
        <w:fldChar w:fldCharType="separate"/>
      </w:r>
      <w:r>
        <w:rPr>
          <w:noProof/>
        </w:rPr>
        <w:t>14</w:t>
      </w:r>
      <w:r w:rsidRPr="00A35FD2">
        <w:rPr>
          <w:snapToGrid w:val="0"/>
        </w:rPr>
        <w:fldChar w:fldCharType="end"/>
      </w:r>
      <w:r>
        <w:t xml:space="preserve"> настоящего постановления).</w:t>
      </w:r>
      <w:r>
        <w:rPr>
          <w:snapToGrid w:val="0"/>
        </w:rPr>
        <w:t xml:space="preserve"> </w:t>
      </w:r>
      <w:r>
        <w:t xml:space="preserve">Более того, по состоянию на 9 июня 2014 г. УФМС по г. Москве находилось под обязательством признать заявителя беженцем согласно решению Замоскворецкого районного суда г. Москвы от 12 мая 2014 г. </w:t>
      </w:r>
      <w:r>
        <w:br/>
        <w:t xml:space="preserve">(см. выше, пункт </w:t>
      </w:r>
      <w:r w:rsidRPr="00A35FD2">
        <w:rPr>
          <w:snapToGrid w:val="0"/>
        </w:rPr>
        <w:fldChar w:fldCharType="begin"/>
      </w:r>
      <w:r w:rsidRPr="00A35FD2">
        <w:rPr>
          <w:snapToGrid w:val="0"/>
        </w:rPr>
        <w:instrText xml:space="preserve"> REF May122014 \h </w:instrText>
      </w:r>
      <w:r w:rsidRPr="00A35FD2">
        <w:rPr>
          <w:snapToGrid w:val="0"/>
        </w:rPr>
      </w:r>
      <w:r w:rsidRPr="00A35FD2">
        <w:rPr>
          <w:snapToGrid w:val="0"/>
        </w:rPr>
        <w:fldChar w:fldCharType="separate"/>
      </w:r>
      <w:r>
        <w:rPr>
          <w:noProof/>
        </w:rPr>
        <w:t>17</w:t>
      </w:r>
      <w:r w:rsidRPr="00A35FD2">
        <w:rPr>
          <w:snapToGrid w:val="0"/>
        </w:rPr>
        <w:fldChar w:fldCharType="end"/>
      </w:r>
      <w:r>
        <w:t xml:space="preserve"> настоящего постановления).</w:t>
      </w:r>
    </w:p>
    <w:p w:rsidR="00022850" w:rsidRPr="00A35FD2" w:rsidRDefault="00022850" w:rsidP="00A35FD2">
      <w:pPr>
        <w:pStyle w:val="ECHRPara"/>
        <w:rPr>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139</w:t>
      </w:r>
      <w:r w:rsidRPr="00A35FD2">
        <w:rPr>
          <w:snapToGrid w:val="0"/>
        </w:rPr>
        <w:fldChar w:fldCharType="end"/>
      </w:r>
      <w:r>
        <w:rPr>
          <w:snapToGrid w:val="0"/>
        </w:rPr>
        <w:t>.  </w:t>
      </w:r>
      <w:r>
        <w:t xml:space="preserve">В этих обстоятельствах Европейский Суд считает целесообразным рассмотреть жалобы заявителя по статье 3 Конвенции в свете общих принципов, упомянутых в пункте </w:t>
      </w:r>
      <w:r w:rsidRPr="00A35FD2">
        <w:rPr>
          <w:snapToGrid w:val="0"/>
        </w:rPr>
        <w:fldChar w:fldCharType="begin"/>
      </w:r>
      <w:r w:rsidRPr="00A35FD2">
        <w:rPr>
          <w:snapToGrid w:val="0"/>
        </w:rPr>
        <w:instrText xml:space="preserve"> REF generalprinciples \h </w:instrText>
      </w:r>
      <w:r w:rsidRPr="00A35FD2">
        <w:rPr>
          <w:snapToGrid w:val="0"/>
        </w:rPr>
      </w:r>
      <w:r w:rsidRPr="00A35FD2">
        <w:rPr>
          <w:snapToGrid w:val="0"/>
        </w:rPr>
        <w:fldChar w:fldCharType="separate"/>
      </w:r>
      <w:r>
        <w:rPr>
          <w:noProof/>
        </w:rPr>
        <w:t>134</w:t>
      </w:r>
      <w:r w:rsidRPr="00A35FD2">
        <w:rPr>
          <w:snapToGrid w:val="0"/>
        </w:rPr>
        <w:fldChar w:fldCharType="end"/>
      </w:r>
      <w:r>
        <w:t xml:space="preserve"> настоящего постановления, и дел, упомянутых в пункте </w:t>
      </w:r>
      <w:r w:rsidRPr="00A35FD2">
        <w:rPr>
          <w:snapToGrid w:val="0"/>
        </w:rPr>
        <w:fldChar w:fldCharType="begin"/>
      </w:r>
      <w:r w:rsidRPr="00A35FD2">
        <w:rPr>
          <w:snapToGrid w:val="0"/>
        </w:rPr>
        <w:instrText xml:space="preserve"> REF cases1 \h </w:instrText>
      </w:r>
      <w:r w:rsidRPr="00A35FD2">
        <w:rPr>
          <w:snapToGrid w:val="0"/>
        </w:rPr>
      </w:r>
      <w:r w:rsidRPr="00A35FD2">
        <w:rPr>
          <w:snapToGrid w:val="0"/>
        </w:rPr>
        <w:fldChar w:fldCharType="separate"/>
      </w:r>
      <w:r>
        <w:rPr>
          <w:noProof/>
        </w:rPr>
        <w:t>135</w:t>
      </w:r>
      <w:r w:rsidRPr="00A35FD2">
        <w:rPr>
          <w:snapToGrid w:val="0"/>
        </w:rPr>
        <w:fldChar w:fldCharType="end"/>
      </w:r>
      <w:r>
        <w:t>, с учётом необходимости проводить различие в необходимых случаях.</w:t>
      </w:r>
    </w:p>
    <w:p w:rsidR="00022850" w:rsidRPr="00A35FD2" w:rsidRDefault="00022850" w:rsidP="00A35FD2">
      <w:pPr>
        <w:pStyle w:val="ECHRHeading4"/>
      </w:pPr>
      <w:r>
        <w:t>(б)  Вопрос о том, грозила ли заявителю опасность подвергнуться жестокому обращению в Узбекистане</w:t>
      </w:r>
    </w:p>
    <w:p w:rsidR="00022850" w:rsidRPr="00A35FD2" w:rsidRDefault="00022850" w:rsidP="00A35FD2">
      <w:pPr>
        <w:pStyle w:val="ECHRPara"/>
        <w:rPr>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140</w:t>
      </w:r>
      <w:r w:rsidRPr="00A35FD2">
        <w:rPr>
          <w:snapToGrid w:val="0"/>
        </w:rPr>
        <w:fldChar w:fldCharType="end"/>
      </w:r>
      <w:r>
        <w:rPr>
          <w:snapToGrid w:val="0"/>
        </w:rPr>
        <w:t>.  С тем чтобы перейти к рассмотрению жалоб заявителя на нарушения материально-правового и процессуального аспектов статьи 3 Конвенции, Европейский Суд в первую очередь считает необходимым установить, грозила ли заявителю реальная опасность подвергнуться жестокому обращению в Узбекистане. Суд примет соответствующее решение с учётом общих принципов, резюмированных, в том числе, в упомянутом выше постановлении по делу «Савриддин Джураев против России» (§ 148—153).</w:t>
      </w:r>
    </w:p>
    <w:p w:rsidR="00022850" w:rsidRPr="00A35FD2" w:rsidRDefault="00022850" w:rsidP="00A35FD2">
      <w:pPr>
        <w:pStyle w:val="ECHRPara"/>
        <w:rPr>
          <w:noProof/>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141</w:t>
      </w:r>
      <w:r w:rsidRPr="00A35FD2">
        <w:rPr>
          <w:snapToGrid w:val="0"/>
        </w:rPr>
        <w:fldChar w:fldCharType="end"/>
      </w:r>
      <w:r>
        <w:rPr>
          <w:snapToGrid w:val="0"/>
        </w:rPr>
        <w:t xml:space="preserve">.  Европейский Суд уже рассматривал ряд дел, связанных с опасностью быть подвергнутым жестокому обращению в случае экстрадиции или выдворения лиц из России и других государств-членов Совета Европы в Узбекистан. На основании материалов, полученных из различных источников, Европейский Суд устанавливал, что общая ситуация в области прав человека в Узбекистане вызывает тревогу, и что данные международных организаций свидетельствуют о сохранении серьёзной проблемы жестокого обращения с лицами, содержащимися под стражей, о «систематической» и «неизбирательной» практике применения пыток к лицам, содержащимся под стражей в милиции, а также об отсутствии реальных доказательств, демонстрирующих какие-либо существенные улучшения в этой области (см. упомянутое выше постановление Европейского Суда по делу «Мухитдинов против России», § 52, а также содержащиеся в нём ссылки). </w:t>
      </w:r>
      <w:r>
        <w:t xml:space="preserve">С учётом этого и принимая во внимание информацию, резюмированную в пунктах </w:t>
      </w:r>
      <w:fldSimple w:instr=" REF UN \h  \* MERGEFORMAT ">
        <w:r w:rsidRPr="0007533F">
          <w:rPr>
            <w:noProof/>
            <w:snapToGrid w:val="0"/>
          </w:rPr>
          <w:t>96</w:t>
        </w:r>
      </w:fldSimple>
      <w:r>
        <w:t>—</w:t>
      </w:r>
      <w:fldSimple w:instr=" REF AI1 \h  \* MERGEFORMAT ">
        <w:r w:rsidRPr="0007533F">
          <w:rPr>
            <w:noProof/>
            <w:snapToGrid w:val="0"/>
          </w:rPr>
          <w:t>99</w:t>
        </w:r>
      </w:fldSimple>
      <w:r>
        <w:t xml:space="preserve"> настоящего постановления, Европейскому Суду не остаётся ничего, кроме как согласиться с тем, что жестокое обращение с лицами, содержащимися под стражей, остаётся широко распространённой и глубоко укоренившейся проблемой в Узбекистане (см. постановление Европейского Суда от 7 мая 2014 г. по делу «Низамов и другие против России» [</w:t>
      </w:r>
      <w:r>
        <w:rPr>
          <w:i/>
        </w:rPr>
        <w:t>Nizamov and Others v. Russia</w:t>
      </w:r>
      <w:r>
        <w:t>], жалобы № 22636/13 и 3 других, § 40).</w:t>
      </w:r>
    </w:p>
    <w:p w:rsidR="00022850" w:rsidRPr="00A35FD2" w:rsidRDefault="00022850" w:rsidP="00A35FD2">
      <w:pPr>
        <w:pStyle w:val="ECHRPara"/>
        <w:rPr>
          <w:i/>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142</w:t>
      </w:r>
      <w:r w:rsidRPr="00A35FD2">
        <w:rPr>
          <w:snapToGrid w:val="0"/>
        </w:rPr>
        <w:fldChar w:fldCharType="end"/>
      </w:r>
      <w:r>
        <w:rPr>
          <w:snapToGrid w:val="0"/>
        </w:rPr>
        <w:t>.  Теперь Европейский Суд рассмотрит вопрос о том, имелись ли какие-либо индивидуальные обстоятельства, подкрепляющие опасения заявителя по поводу возможности подвергнуться жестокому обращению (см. постановление Большой Палаты Европейского Суда по делу «Маматкулов и Аскаров против Турции» [</w:t>
      </w:r>
      <w:r>
        <w:rPr>
          <w:i/>
          <w:snapToGrid w:val="0"/>
        </w:rPr>
        <w:t>Mamatkulov and Askarov v. Turkey</w:t>
      </w:r>
      <w:r>
        <w:rPr>
          <w:snapToGrid w:val="0"/>
        </w:rPr>
        <w:t>], жалобы № 46827/99 и 46951/99, § 73, ECHR 2005</w:t>
      </w:r>
      <w:r>
        <w:rPr>
          <w:snapToGrid w:val="0"/>
        </w:rPr>
        <w:noBreakHyphen/>
        <w:t>I). Суд повторяет, что в тех случаях, когда заявитель утверждает, что он является членом группы, систематически подвергающейся жестокому обращению, защитный механизм, предусмотренный статьёй 3 Конвенции, начинает действовать, когда заявитель предоставляет доказательства (в случае необходимости — на основании информации, содержащейся в последних докладах независимых международных правозащитных органов или неправительственных организаций) наличия серьёзных оснований полагать, что соответствующая практика в действительности существует, и что он является членом такой группы. При таких обстоятельствах Европейский Суд не будет требовать от заявителя демонстрировать наличие дополнительных характерных особенностей (см. упомянутое выше постановление Большой Палаты Европейского Суда по делу «Саади против Италии», § 132, и постановление Европейского Суда от 17 июля 2008 г. по делу «N.A. против Соединённого Королевства» [</w:t>
      </w:r>
      <w:r>
        <w:rPr>
          <w:i/>
          <w:snapToGrid w:val="0"/>
        </w:rPr>
        <w:t>N.A. v. the United Kingdom</w:t>
      </w:r>
      <w:r>
        <w:rPr>
          <w:snapToGrid w:val="0"/>
        </w:rPr>
        <w:t xml:space="preserve">], жалоба № 25904/07, § 116). </w:t>
      </w:r>
      <w:r>
        <w:t xml:space="preserve">Европейский Суд отмечает в этой связи, что в Узбекистане заявитель был обвинён и признан виновным в «[н]езаконн[ой] организаци[и] общественных объединений или религиозных организаций» и в «[с]оздани[и], руководств[е], участи[и] в религиозных экстремистских, сепаратистских, фундаменталистских или иных запрещённых организациях» (см. выше, пункт </w:t>
      </w:r>
      <w:r w:rsidRPr="00A35FD2">
        <w:rPr>
          <w:snapToGrid w:val="0"/>
        </w:rPr>
        <w:fldChar w:fldCharType="begin"/>
      </w:r>
      <w:r w:rsidRPr="00A35FD2">
        <w:rPr>
          <w:snapToGrid w:val="0"/>
        </w:rPr>
        <w:instrText xml:space="preserve"> REF trial \h </w:instrText>
      </w:r>
      <w:r w:rsidRPr="00A35FD2">
        <w:rPr>
          <w:snapToGrid w:val="0"/>
        </w:rPr>
      </w:r>
      <w:r w:rsidRPr="00A35FD2">
        <w:rPr>
          <w:snapToGrid w:val="0"/>
        </w:rPr>
        <w:fldChar w:fldCharType="separate"/>
      </w:r>
      <w:r>
        <w:rPr>
          <w:noProof/>
        </w:rPr>
        <w:t>43</w:t>
      </w:r>
      <w:r w:rsidRPr="00A35FD2">
        <w:rPr>
          <w:snapToGrid w:val="0"/>
        </w:rPr>
        <w:fldChar w:fldCharType="end"/>
      </w:r>
      <w:r>
        <w:t xml:space="preserve"> настоящего постановления).</w:t>
      </w:r>
      <w:r>
        <w:rPr>
          <w:snapToGrid w:val="0"/>
        </w:rPr>
        <w:t xml:space="preserve"> </w:t>
      </w:r>
      <w:r>
        <w:t>По мнению Европейского Суда, данные обвинения вне всякого сомнения носят политический и религиозный характер (см. постановление Европейского Суда от 1 марта 2016 г. по делу «Холмуродов против России» [</w:t>
      </w:r>
      <w:r>
        <w:rPr>
          <w:i/>
        </w:rPr>
        <w:t>Kholmurodov v. Russia</w:t>
      </w:r>
      <w:r>
        <w:t xml:space="preserve">], </w:t>
      </w:r>
      <w:r>
        <w:br/>
        <w:t>жалоба № 58923/14, § 65).</w:t>
      </w:r>
      <w:r>
        <w:rPr>
          <w:i/>
        </w:rPr>
        <w:t xml:space="preserve"> </w:t>
      </w:r>
      <w:r>
        <w:t>Соответственно, Европейский Суд признает, что заявитель относится к особо уязвимой группе, члены которой регулярно подвергаются в стране назначения обращению, запрещённому статьёй 3 Конвенции.</w:t>
      </w:r>
    </w:p>
    <w:p w:rsidR="00022850" w:rsidRPr="00A35FD2" w:rsidRDefault="00022850" w:rsidP="00A35FD2">
      <w:pPr>
        <w:pStyle w:val="ECHRPara"/>
        <w:rPr>
          <w:i/>
          <w:szCs w:val="24"/>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143</w:t>
      </w:r>
      <w:r w:rsidRPr="00A35FD2">
        <w:rPr>
          <w:snapToGrid w:val="0"/>
        </w:rPr>
        <w:fldChar w:fldCharType="end"/>
      </w:r>
      <w:r>
        <w:rPr>
          <w:snapToGrid w:val="0"/>
        </w:rPr>
        <w:t>.  </w:t>
      </w:r>
      <w:r>
        <w:t xml:space="preserve">Более того, находящаяся в распоряжении Европейского Суда информация в отношении судьбы заявителя по его возвращении в Узбекистан (несмотря на её ограниченный характер) свидетельствует о том, что контакты заявителя с внешним миром были серьёзно ограничены (см. выше, пункты </w:t>
      </w:r>
      <w:r w:rsidRPr="00A35FD2">
        <w:rPr>
          <w:snapToGrid w:val="0"/>
        </w:rPr>
        <w:fldChar w:fldCharType="begin"/>
      </w:r>
      <w:r w:rsidRPr="00A35FD2">
        <w:rPr>
          <w:snapToGrid w:val="0"/>
        </w:rPr>
        <w:instrText xml:space="preserve"> REF incomm0 \h </w:instrText>
      </w:r>
      <w:r w:rsidRPr="00A35FD2">
        <w:rPr>
          <w:snapToGrid w:val="0"/>
        </w:rPr>
      </w:r>
      <w:r w:rsidRPr="00A35FD2">
        <w:rPr>
          <w:snapToGrid w:val="0"/>
        </w:rPr>
        <w:fldChar w:fldCharType="separate"/>
      </w:r>
      <w:r>
        <w:rPr>
          <w:noProof/>
        </w:rPr>
        <w:t>26</w:t>
      </w:r>
      <w:r w:rsidRPr="00A35FD2">
        <w:rPr>
          <w:snapToGrid w:val="0"/>
        </w:rPr>
        <w:fldChar w:fldCharType="end"/>
      </w:r>
      <w:r>
        <w:t xml:space="preserve">, </w:t>
      </w:r>
      <w:r w:rsidRPr="00A35FD2">
        <w:rPr>
          <w:snapToGrid w:val="0"/>
        </w:rPr>
        <w:fldChar w:fldCharType="begin"/>
      </w:r>
      <w:r w:rsidRPr="00A35FD2">
        <w:rPr>
          <w:snapToGrid w:val="0"/>
        </w:rPr>
        <w:instrText xml:space="preserve"> REF incomm1 \h </w:instrText>
      </w:r>
      <w:r w:rsidRPr="00A35FD2">
        <w:rPr>
          <w:snapToGrid w:val="0"/>
        </w:rPr>
      </w:r>
      <w:r w:rsidRPr="00A35FD2">
        <w:rPr>
          <w:snapToGrid w:val="0"/>
        </w:rPr>
        <w:fldChar w:fldCharType="separate"/>
      </w:r>
      <w:r>
        <w:rPr>
          <w:noProof/>
        </w:rPr>
        <w:t>36</w:t>
      </w:r>
      <w:r w:rsidRPr="00A35FD2">
        <w:rPr>
          <w:snapToGrid w:val="0"/>
        </w:rPr>
        <w:fldChar w:fldCharType="end"/>
      </w:r>
      <w:r>
        <w:t xml:space="preserve"> и </w:t>
      </w:r>
      <w:r w:rsidRPr="00A35FD2">
        <w:rPr>
          <w:snapToGrid w:val="0"/>
        </w:rPr>
        <w:fldChar w:fldCharType="begin"/>
      </w:r>
      <w:r w:rsidRPr="00A35FD2">
        <w:rPr>
          <w:snapToGrid w:val="0"/>
        </w:rPr>
        <w:instrText xml:space="preserve"> REF incomm2 \h </w:instrText>
      </w:r>
      <w:r w:rsidRPr="00A35FD2">
        <w:rPr>
          <w:snapToGrid w:val="0"/>
        </w:rPr>
      </w:r>
      <w:r w:rsidRPr="00A35FD2">
        <w:rPr>
          <w:snapToGrid w:val="0"/>
        </w:rPr>
        <w:fldChar w:fldCharType="separate"/>
      </w:r>
      <w:r>
        <w:rPr>
          <w:noProof/>
        </w:rPr>
        <w:t>42</w:t>
      </w:r>
      <w:r w:rsidRPr="00A35FD2">
        <w:rPr>
          <w:snapToGrid w:val="0"/>
        </w:rPr>
        <w:fldChar w:fldCharType="end"/>
      </w:r>
      <w:r>
        <w:t xml:space="preserve"> настоящего постановления). Это соответствует опасениям, выражавшимся, в частности, Amnesty International, о том, что лица, возвращённые в Узбекистан из других стран, содержатся под стражей без связи с внешним миром и в этой связи сталкиваются с повышенной опасностью подвергнуться жестокому обращению (см. упомянутое выше постановление Европейского Суда по делу «Ермаков против России», § 206).</w:t>
      </w:r>
    </w:p>
    <w:bookmarkStart w:id="56" w:name="expusure"/>
    <w:p w:rsidR="00022850" w:rsidRPr="00A35FD2" w:rsidRDefault="00022850" w:rsidP="00A35FD2">
      <w:pPr>
        <w:pStyle w:val="ECHRPara"/>
        <w:rPr>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144</w:t>
      </w:r>
      <w:r w:rsidRPr="00A35FD2">
        <w:rPr>
          <w:snapToGrid w:val="0"/>
        </w:rPr>
        <w:fldChar w:fldCharType="end"/>
      </w:r>
      <w:bookmarkEnd w:id="56"/>
      <w:r>
        <w:rPr>
          <w:snapToGrid w:val="0"/>
        </w:rPr>
        <w:t>.  С учётом вышеизложенного Европейский Суд приходит к выводу, что в результате недобровольного перемещения заявителя в Узбекистан он подвергся реальной опасности применения в его отношении обращения, противоречащего статье 3 Конвенции.</w:t>
      </w:r>
    </w:p>
    <w:p w:rsidR="00022850" w:rsidRPr="00A35FD2" w:rsidRDefault="00022850" w:rsidP="00A35FD2">
      <w:pPr>
        <w:pStyle w:val="ECHRHeading4"/>
      </w:pPr>
      <w:r>
        <w:t>(в)  Вопрос о соблюдении материально-правового аспекта статьи 3 Конвенции</w:t>
      </w:r>
    </w:p>
    <w:p w:rsidR="00022850" w:rsidRPr="00A35FD2" w:rsidRDefault="00022850" w:rsidP="00A35FD2">
      <w:pPr>
        <w:pStyle w:val="ECHRHeading5"/>
        <w:ind w:left="833" w:firstLine="0"/>
      </w:pPr>
      <w:r>
        <w:t>(i)  Позитивное обязательство государства-ответчика по защите заявителя от реальной и непосредственной опасности насильственного перемещения в Узбекистан</w:t>
      </w:r>
    </w:p>
    <w:bookmarkStart w:id="57" w:name="pattern"/>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145</w:t>
      </w:r>
      <w:r w:rsidRPr="00A35FD2">
        <w:fldChar w:fldCharType="end"/>
      </w:r>
      <w:bookmarkEnd w:id="57"/>
      <w:r>
        <w:t>.  Европейский Суд уже приходил к выводу о том, что если власти государства-участника знают о том, что лицу грозит реальная и непосредственная опасность ввиду того, что в случае перемещения кем-либо в другую страну оно подвергнется реальной и неминуемой опасности пыток и жестокого обращения, они в соответствии с положениями Конвенции обязаны в рамках своих полномочий принять оперативные меры, которые можно было бы здраво ожидать в целях предотвращения такой опасности (см. упомянутое выше постановление Европейского Суда по делу «Савриддин Джураев против России», § 180, а также содержащиеся в нём ссылки). Европейский Суд и Комитет министров обращали внимание российских властей на то, что продолжают происходить аналогичные инциденты, связанные с незаконным перемещением из России заявителей, в отношении которых применена обеспечительная мера согласно правилу 39 Регламента Европейского Суда, в государства, не являющиеся участниками Конвенции, в частности в Таджикистан и Узбекистан (резюме соответствующих заявлений см. в упомянутом выше постановлении Европейского Суда по делу «Савриддин Джураев против России», § 121—126, и в упомянутом выше постановлении Европейского Суда по делу «Касымахунов против России», § 136). Более того, в письме от 25 апреля 2012 г. Секретарь Европейского Суда выразил от имени Председателя Европейского Суда глубокую озабоченность по поводу исчезновения в России другого заявителя - Савриддина Джураева и его последующего перемещения в Таджикистан «несмотря на обеспечительные меры, указанные согласно правилу 39 Регламента Суда» (полный текст письма см. в упомянутом выше постановлении Европейского Суда по делу «Савриддин Джураев против России», § 52).</w:t>
      </w:r>
    </w:p>
    <w:p w:rsidR="00022850" w:rsidRPr="00A35FD2" w:rsidRDefault="00022850" w:rsidP="00A35FD2">
      <w:pPr>
        <w:pStyle w:val="ECHRPara"/>
      </w:pPr>
      <w:fldSimple w:instr=" SEQ level0 \*arabic ">
        <w:r>
          <w:rPr>
            <w:noProof/>
          </w:rPr>
          <w:t>146</w:t>
        </w:r>
      </w:fldSimple>
      <w:r>
        <w:t>.  Тем не менее, Европейский Суд не убеждён, что в настоящем деле возникло обязательство по принятию предупредительных оперативных мер, поскольку на момент похищения к заявителю не применялась обеспечительная мера, указанная Европейским Судом (см. для сравнения упомянутое выше постановление Европейского Суда по делу «Савриддин Джураев против России», § 4 и 38; упомянутое выше постановление Европейского Суда по делу «Низомхон Джураев против России», § 4 и 67; упомянутое выше постановление Европейского Суда по делу «Ермаков против России», § 4 и 85—88; а также упомянутое выше постановление Европейского Суда по делу «Касымахунов против России», § 4 и 44—49). Европейский Суд не готов сделать далеко идущий и возможно даже безосновательный вывод о том, что у российских властей имелись какие-либо конкретные основания для того, чтобы проявлять особую бдительность в отношении заявителя, учитывая, что соответствующие обеспечительные меры были назначены уже после его похищения. Если бы Суд пришёл к обратному выводу, это бы означало, что власти были обязаны постоянно осуществлять контроль над гражданами Узбекистана и Таджикистана на территории Российской Федерации, что не только бы наложило на них нереалистичное бремя, но ещё и противоречило бы понятию независимости личности таких иностранных граждан, что является важным принципом, лежащим в основе интерпретации гарантий, которые предоставляет статья 8 Конвенции (см. постановление Европейского Суда по делу «Претти против Соединённого Королевства» [</w:t>
      </w:r>
      <w:r>
        <w:rPr>
          <w:i/>
        </w:rPr>
        <w:t>Pretty v. the United Kingdom</w:t>
      </w:r>
      <w:r>
        <w:t>], жалоба № 2346/02, § 61, ECHR 2002</w:t>
      </w:r>
      <w:r>
        <w:noBreakHyphen/>
        <w:t>III).</w:t>
      </w:r>
    </w:p>
    <w:bookmarkStart w:id="58" w:name="preventB"/>
    <w:bookmarkStart w:id="59" w:name="p147"/>
    <w:p w:rsidR="00022850" w:rsidRPr="00A35FD2" w:rsidRDefault="00022850" w:rsidP="00A35FD2">
      <w:pPr>
        <w:pStyle w:val="ECHRPara"/>
      </w:pPr>
      <w:r w:rsidRPr="00A35FD2">
        <w:fldChar w:fldCharType="begin"/>
      </w:r>
      <w:r w:rsidRPr="00A35FD2">
        <w:instrText xml:space="preserve"> SEQ level0 \*arabic </w:instrText>
      </w:r>
      <w:r w:rsidRPr="00A35FD2">
        <w:fldChar w:fldCharType="separate"/>
      </w:r>
      <w:r>
        <w:rPr>
          <w:noProof/>
        </w:rPr>
        <w:t>147</w:t>
      </w:r>
      <w:r w:rsidRPr="00A35FD2">
        <w:fldChar w:fldCharType="end"/>
      </w:r>
      <w:bookmarkEnd w:id="58"/>
      <w:bookmarkEnd w:id="59"/>
      <w:r>
        <w:t>.  Соответственно, Европейский Суд приходит к выводу, что — с учётом конкретных обстоятельств настоящего дела — российские власти не были обязаны принимать оперативных мер для предотвращения опасности принудительного перемещения заявителя в Узбекистан.</w:t>
      </w:r>
    </w:p>
    <w:p w:rsidR="00022850" w:rsidRPr="00A35FD2" w:rsidRDefault="00022850" w:rsidP="00A35FD2">
      <w:pPr>
        <w:pStyle w:val="ECHRHeading5"/>
      </w:pPr>
      <w:r>
        <w:t>(ii)  Вопрос об ответственности государства-ответчика за перемещение заявителя в Узбекистан</w:t>
      </w:r>
    </w:p>
    <w:p w:rsidR="00022850" w:rsidRPr="00A35FD2" w:rsidRDefault="00022850" w:rsidP="00A35FD2">
      <w:pPr>
        <w:pStyle w:val="ECHRPara"/>
      </w:pPr>
      <w:fldSimple w:instr=" SEQ level0 \*arabic ">
        <w:r>
          <w:rPr>
            <w:noProof/>
          </w:rPr>
          <w:t>148</w:t>
        </w:r>
      </w:fldSimple>
      <w:r>
        <w:t xml:space="preserve">.  В пункте </w:t>
      </w:r>
      <w:fldSimple w:instr=" REF involvement \h  \* MERGEFORMAT ">
        <w:r>
          <w:rPr>
            <w:noProof/>
          </w:rPr>
          <w:t>126</w:t>
        </w:r>
      </w:fldSimple>
      <w:r>
        <w:t xml:space="preserve"> настоящего постановления Европейский Суд уже установил, что российские власти были прямо или косвенно причастны к насильственному перемещению заявителя в Ташкент.</w:t>
      </w:r>
    </w:p>
    <w:p w:rsidR="00022850" w:rsidRPr="00A35FD2" w:rsidRDefault="00022850" w:rsidP="00A35FD2">
      <w:pPr>
        <w:pStyle w:val="ECHRPara"/>
      </w:pPr>
      <w:fldSimple w:instr=" SEQ level0 \*arabic ">
        <w:r>
          <w:rPr>
            <w:noProof/>
          </w:rPr>
          <w:t>149</w:t>
        </w:r>
      </w:fldSimple>
      <w:r>
        <w:t xml:space="preserve">.  Европейский Суд отмечает, что он должен рассматривать настоящее дело в соответствующем контексте и принимать во внимание неоднократные случаи исчезновения лиц, подлежащих экстрадиции из России в Таджикистан или Узбекистан, а затем их появления под стражей у себя на родине (см. выше, пункт </w:t>
      </w:r>
      <w:r w:rsidRPr="00A35FD2">
        <w:fldChar w:fldCharType="begin"/>
      </w:r>
      <w:r w:rsidRPr="00A35FD2">
        <w:instrText xml:space="preserve"> REF pattern \h </w:instrText>
      </w:r>
      <w:r w:rsidRPr="00A35FD2">
        <w:fldChar w:fldCharType="separate"/>
      </w:r>
      <w:r>
        <w:rPr>
          <w:noProof/>
        </w:rPr>
        <w:t>145</w:t>
      </w:r>
      <w:r w:rsidRPr="00A35FD2">
        <w:fldChar w:fldCharType="end"/>
      </w:r>
      <w:r>
        <w:t xml:space="preserve"> настоящего постановления; см. также упомянутое выше постановление Европейского Суда по делу «Ермаков против России», § 181). Регулярность этих происшествий, которые выходят за рамки законности и которым власти не дали сколько-нибудь адекватного объяснения, также свидетельствует в пользу версии событий, изложенной Европейскому Суду представителями заявителя.</w:t>
      </w:r>
    </w:p>
    <w:p w:rsidR="00022850" w:rsidRPr="00A35FD2" w:rsidRDefault="00022850" w:rsidP="00A35FD2">
      <w:pPr>
        <w:pStyle w:val="ECHRPara"/>
      </w:pPr>
      <w:fldSimple w:instr=" SEQ level0 \*arabic ">
        <w:r>
          <w:rPr>
            <w:noProof/>
          </w:rPr>
          <w:t>150</w:t>
        </w:r>
      </w:fldSimple>
      <w:r>
        <w:t>.  В делах, касающихся исчезновения с территории Российской Федерации лиц, разыскиваемых за совершение «экстремистских» преступлений в Узбекистане и Таджикистане, Европейский Суд уже устанавливал, что российские власти несут бремя доказывания того, что исчезновение заявителя не было обусловлено пассивным или активным участием представителей государства (см. постановление Европейского Суда по делу «Мухитдинов против России», § 76, а также содержащиеся в нём ссылки). Европейский Суд отмечает, что Власти не исполнили данное бремя в настоящем деле. Утверждение Властей о том, что представители государства не были причастны к похищению заявителя как таковому, не снимает с Властей этой ответственности. Соответственно, Европейский Суд приходит к выводу, что государство-ответчик несёт ответственность за пропажу заявителя.</w:t>
      </w:r>
    </w:p>
    <w:p w:rsidR="00022850" w:rsidRPr="00A35FD2" w:rsidRDefault="00022850" w:rsidP="00A35FD2">
      <w:pPr>
        <w:pStyle w:val="ECHRPara"/>
      </w:pPr>
      <w:fldSimple w:instr=" SEQ level0 \*arabic ">
        <w:r>
          <w:rPr>
            <w:noProof/>
          </w:rPr>
          <w:t>151</w:t>
        </w:r>
      </w:fldSimple>
      <w:r>
        <w:t>.  Соответственно, было допущено нарушение материально-правового аспекта статьи 3 Конвенции.</w:t>
      </w:r>
    </w:p>
    <w:p w:rsidR="00022850" w:rsidRPr="00A35FD2" w:rsidRDefault="00022850" w:rsidP="00A35FD2">
      <w:pPr>
        <w:pStyle w:val="ECHRHeading4"/>
      </w:pPr>
      <w:r>
        <w:t>(г)  Вопрос о соблюдении процессуального аспекта статьи 3 Конвенции</w:t>
      </w:r>
    </w:p>
    <w:p w:rsidR="00022850" w:rsidRPr="00A35FD2" w:rsidRDefault="00022850" w:rsidP="00A35FD2">
      <w:pPr>
        <w:pStyle w:val="ECHRPara"/>
      </w:pPr>
      <w:fldSimple w:instr=" SEQ level0 \*arabic ">
        <w:r>
          <w:rPr>
            <w:noProof/>
          </w:rPr>
          <w:t>152</w:t>
        </w:r>
      </w:fldSimple>
      <w:r>
        <w:t>.  Теперь Европейский Суд рассмотрит вопрос о том, соблюли ли российские власти свои обязательства, вытекающие из процессуального аспекта статьи 3 Конвенции.</w:t>
      </w:r>
    </w:p>
    <w:p w:rsidR="00022850" w:rsidRPr="00A35FD2" w:rsidRDefault="00022850" w:rsidP="00A35FD2">
      <w:pPr>
        <w:pStyle w:val="ECHRPara"/>
        <w:rPr>
          <w:i/>
        </w:rPr>
      </w:pPr>
      <w:fldSimple w:instr=" SEQ level0 \*arabic ">
        <w:r>
          <w:rPr>
            <w:noProof/>
          </w:rPr>
          <w:t>153</w:t>
        </w:r>
      </w:fldSimple>
      <w:r>
        <w:t>.  Европейский Суд обращается к общим принципам, связанным с процессуальным аспектом статьи 3 Конвенции, которые изложены, в частности, в постановлении Большой Палаты Европейского Суда по делу «Буид против Бельгии» [</w:t>
      </w:r>
      <w:r>
        <w:rPr>
          <w:i/>
        </w:rPr>
        <w:t>Bouyid v. Belgium</w:t>
      </w:r>
      <w:r>
        <w:t xml:space="preserve">], жалоба № 23380/09, </w:t>
      </w:r>
      <w:r>
        <w:br/>
        <w:t>§ 114—123, ECHR 2015). Суд повторяет, что данные общие принципы в полной мере применимы к ситуации, когда власти государства-участника осведомлены о грозящей лицу реальной и неминуемой опасности жестокого обращения в случае его насильственного перемещения в другое государство (см. упомянутое выше постановление Европейского Суда по делу «Савриддин Джураев против России», § 190; упомянутое выше постановление Европейского Суда по делу «Касымахунов против России», § 144; а также упомянутое выше постановление Европейского Суда по делу «Мухитдинов против России», § 65)</w:t>
      </w:r>
    </w:p>
    <w:p w:rsidR="00022850" w:rsidRPr="00A35FD2" w:rsidRDefault="00022850" w:rsidP="00A35FD2">
      <w:pPr>
        <w:pStyle w:val="ECHRPara"/>
        <w:rPr>
          <w:i/>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154</w:t>
      </w:r>
      <w:r w:rsidRPr="00A35FD2">
        <w:rPr>
          <w:snapToGrid w:val="0"/>
        </w:rPr>
        <w:fldChar w:fldCharType="end"/>
      </w:r>
      <w:r>
        <w:rPr>
          <w:snapToGrid w:val="0"/>
        </w:rPr>
        <w:t>.  </w:t>
      </w:r>
      <w:r>
        <w:t xml:space="preserve">Возвращаясь к обстоятельствам настоящего дела, Европейский Суд полагает, что как только в Суд поступила информация о похищении заявителя (см. выше, пункт </w:t>
      </w:r>
      <w:r w:rsidRPr="00A35FD2">
        <w:rPr>
          <w:snapToGrid w:val="0"/>
        </w:rPr>
        <w:fldChar w:fldCharType="begin"/>
      </w:r>
      <w:r w:rsidRPr="00A35FD2">
        <w:rPr>
          <w:snapToGrid w:val="0"/>
        </w:rPr>
        <w:instrText xml:space="preserve"> REF TimurZakhar1 \h </w:instrText>
      </w:r>
      <w:r w:rsidRPr="00A35FD2">
        <w:rPr>
          <w:snapToGrid w:val="0"/>
        </w:rPr>
      </w:r>
      <w:r w:rsidRPr="00A35FD2">
        <w:rPr>
          <w:snapToGrid w:val="0"/>
        </w:rPr>
        <w:fldChar w:fldCharType="separate"/>
      </w:r>
      <w:r>
        <w:rPr>
          <w:noProof/>
        </w:rPr>
        <w:t>23</w:t>
      </w:r>
      <w:r w:rsidRPr="00A35FD2">
        <w:rPr>
          <w:snapToGrid w:val="0"/>
        </w:rPr>
        <w:fldChar w:fldCharType="end"/>
      </w:r>
      <w:r>
        <w:t xml:space="preserve"> настоящего постановления), на российских властей было возложено обязательство по проведению расследования по факту инцидента безотносительно рассмотренных выше вопросов вменения в вину и позитивных обязательств.</w:t>
      </w:r>
      <w:r>
        <w:rPr>
          <w:snapToGrid w:val="0"/>
        </w:rPr>
        <w:t xml:space="preserve"> Суд повторяет, что статья 3 Конвенции требует от властей проведения эффективного официального расследования по факту предполагаемого жестокого обращения со стороны физического лица, и что такое расследование в принципе должно приводить к установлению фактов по делу и к выявлению и наказанию виновных. Это расследование должно проводиться независимо, оперативно и в разумный срок. </w:t>
      </w:r>
      <w:r>
        <w:t>Необходимо обеспечить возможность эффективного участия в нём потерпевшего (см. постановление Большой Палаты Европейского Суда по делу «О’Кифф против Ирландии» [</w:t>
      </w:r>
      <w:r>
        <w:rPr>
          <w:i/>
        </w:rPr>
        <w:t>O’Keeffe v. Ireland</w:t>
      </w:r>
      <w:r>
        <w:t xml:space="preserve">], </w:t>
      </w:r>
      <w:r>
        <w:br/>
        <w:t>жалоба № 35810/09, § 172, ECHR 2014 (извлечения)).</w:t>
      </w:r>
    </w:p>
    <w:p w:rsidR="00022850" w:rsidRPr="00A35FD2" w:rsidRDefault="00022850" w:rsidP="00A35FD2">
      <w:pPr>
        <w:pStyle w:val="ECHRPara"/>
        <w:rPr>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155</w:t>
      </w:r>
      <w:r w:rsidRPr="00A35FD2">
        <w:rPr>
          <w:snapToGrid w:val="0"/>
        </w:rPr>
        <w:fldChar w:fldCharType="end"/>
      </w:r>
      <w:r>
        <w:rPr>
          <w:snapToGrid w:val="0"/>
        </w:rPr>
        <w:t xml:space="preserve">.  Европейский Суд отмечает, что по факту похищения заявителя было возбуждено уголовное дело. Суд вновь акцентирует внимание на то, что имеющаяся в его распоряжении информация в отношении хода расследования по делу № 815447 является скудной и фрагментарной. </w:t>
      </w:r>
      <w:r>
        <w:t xml:space="preserve">Эта достойная сожаления ситуация является прямым следствием несоблюдения Властями своего обязательства по статье 38 Конвенции (см. выше, пункт </w:t>
      </w:r>
      <w:r w:rsidRPr="00A35FD2">
        <w:rPr>
          <w:snapToGrid w:val="0"/>
        </w:rPr>
        <w:fldChar w:fldCharType="begin"/>
      </w:r>
      <w:r w:rsidRPr="00A35FD2">
        <w:rPr>
          <w:snapToGrid w:val="0"/>
        </w:rPr>
        <w:instrText xml:space="preserve"> REF A38 \h </w:instrText>
      </w:r>
      <w:r w:rsidRPr="00A35FD2">
        <w:rPr>
          <w:snapToGrid w:val="0"/>
        </w:rPr>
      </w:r>
      <w:r w:rsidRPr="00A35FD2">
        <w:rPr>
          <w:snapToGrid w:val="0"/>
        </w:rPr>
        <w:fldChar w:fldCharType="separate"/>
      </w:r>
      <w:r>
        <w:rPr>
          <w:noProof/>
          <w:szCs w:val="24"/>
        </w:rPr>
        <w:t>109</w:t>
      </w:r>
      <w:r w:rsidRPr="00A35FD2">
        <w:rPr>
          <w:snapToGrid w:val="0"/>
        </w:rPr>
        <w:fldChar w:fldCharType="end"/>
      </w:r>
      <w:r>
        <w:t xml:space="preserve"> настоящего постановления).</w:t>
      </w:r>
      <w:r>
        <w:rPr>
          <w:snapToGrid w:val="0"/>
        </w:rPr>
        <w:t xml:space="preserve"> Тем не менее, даже те немногие элементы, которые удаётся установить из материалов, представленных Властями для рассмотрения Европейским Судом вопроса о соблюдении процессуального аспекта статьи 3 Конвенции, уже свидетельствуют о существенных недостатках расследования.</w:t>
      </w:r>
    </w:p>
    <w:p w:rsidR="00022850" w:rsidRPr="00A35FD2" w:rsidRDefault="00022850" w:rsidP="00A35FD2">
      <w:pPr>
        <w:pStyle w:val="ECHRPara"/>
        <w:rPr>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156</w:t>
      </w:r>
      <w:r w:rsidRPr="00A35FD2">
        <w:rPr>
          <w:snapToGrid w:val="0"/>
        </w:rPr>
        <w:fldChar w:fldCharType="end"/>
      </w:r>
      <w:r>
        <w:rPr>
          <w:snapToGrid w:val="0"/>
        </w:rPr>
        <w:t>.  </w:t>
      </w:r>
      <w:r>
        <w:t xml:space="preserve">Во-первых, из документов, представленных Властями </w:t>
      </w:r>
      <w:r>
        <w:br/>
        <w:t xml:space="preserve">(см. выше, пункт </w:t>
      </w:r>
      <w:r w:rsidRPr="00A35FD2">
        <w:rPr>
          <w:snapToGrid w:val="0"/>
        </w:rPr>
        <w:fldChar w:fldCharType="begin"/>
      </w:r>
      <w:r w:rsidRPr="00A35FD2">
        <w:rPr>
          <w:snapToGrid w:val="0"/>
        </w:rPr>
        <w:instrText xml:space="preserve"> REF open2 \h </w:instrText>
      </w:r>
      <w:r w:rsidRPr="00A35FD2">
        <w:rPr>
          <w:snapToGrid w:val="0"/>
        </w:rPr>
      </w:r>
      <w:r w:rsidRPr="00A35FD2">
        <w:rPr>
          <w:snapToGrid w:val="0"/>
        </w:rPr>
        <w:fldChar w:fldCharType="separate"/>
      </w:r>
      <w:r>
        <w:rPr>
          <w:noProof/>
        </w:rPr>
        <w:t>77</w:t>
      </w:r>
      <w:r w:rsidRPr="00A35FD2">
        <w:rPr>
          <w:snapToGrid w:val="0"/>
        </w:rPr>
        <w:fldChar w:fldCharType="end"/>
      </w:r>
      <w:r>
        <w:t xml:space="preserve"> настоящего постановления) следует, что следственный орган возбудил уголовное дело по факту похищения заявителя 9 июля 2014 г., то есть спустя месяц после того, как было подано заявление о похищении.</w:t>
      </w:r>
      <w:r>
        <w:rPr>
          <w:snapToGrid w:val="0"/>
        </w:rPr>
        <w:t xml:space="preserve"> По мнению Европейского Суда, столь длительная задержка в возбуждении уголовного дела, приведшая к потере ценного времени, уже сама по себе по себе оказала серьёзное негативное влияние на перспективы успеха расследования.</w:t>
      </w:r>
    </w:p>
    <w:p w:rsidR="00022850" w:rsidRPr="00A35FD2" w:rsidRDefault="00022850" w:rsidP="00A35FD2">
      <w:pPr>
        <w:pStyle w:val="ECHRPara"/>
        <w:rPr>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157</w:t>
      </w:r>
      <w:r w:rsidRPr="00A35FD2">
        <w:rPr>
          <w:snapToGrid w:val="0"/>
        </w:rPr>
        <w:fldChar w:fldCharType="end"/>
      </w:r>
      <w:r>
        <w:rPr>
          <w:snapToGrid w:val="0"/>
        </w:rPr>
        <w:t>.  </w:t>
      </w:r>
      <w:r>
        <w:t xml:space="preserve">Во-вторых, в период с июля 2014 г. по апрель 2015 г. расследование приостанавливалось и возобновлялось по крайней мере четыре раза (см. выше, пункт </w:t>
      </w:r>
      <w:r w:rsidRPr="00A35FD2">
        <w:rPr>
          <w:snapToGrid w:val="0"/>
        </w:rPr>
        <w:fldChar w:fldCharType="begin"/>
      </w:r>
      <w:r w:rsidRPr="00A35FD2">
        <w:rPr>
          <w:snapToGrid w:val="0"/>
        </w:rPr>
        <w:instrText xml:space="preserve"> REF doc \h </w:instrText>
      </w:r>
      <w:r w:rsidRPr="00A35FD2">
        <w:rPr>
          <w:snapToGrid w:val="0"/>
        </w:rPr>
      </w:r>
      <w:r w:rsidRPr="00A35FD2">
        <w:rPr>
          <w:snapToGrid w:val="0"/>
        </w:rPr>
        <w:fldChar w:fldCharType="separate"/>
      </w:r>
      <w:r>
        <w:rPr>
          <w:noProof/>
        </w:rPr>
        <w:t>82</w:t>
      </w:r>
      <w:r w:rsidRPr="00A35FD2">
        <w:rPr>
          <w:snapToGrid w:val="0"/>
        </w:rPr>
        <w:fldChar w:fldCharType="end"/>
      </w:r>
      <w:r>
        <w:t xml:space="preserve"> настоящего постановления).</w:t>
      </w:r>
      <w:r>
        <w:rPr>
          <w:snapToGrid w:val="0"/>
        </w:rPr>
        <w:t xml:space="preserve"> Суду не удалось установить причины возобновления расследования из-за недостаточности предоставленной ему информации. </w:t>
      </w:r>
      <w:r>
        <w:t xml:space="preserve">Вместе с тем, из перечня мер, подлежащих принятию для обеспечения всестороннего расследования, который содержится в постановлении от 29 апреля 2015 г. (см. выше, пункт </w:t>
      </w:r>
      <w:r w:rsidRPr="00A35FD2">
        <w:rPr>
          <w:snapToGrid w:val="0"/>
        </w:rPr>
        <w:fldChar w:fldCharType="begin"/>
      </w:r>
      <w:r w:rsidRPr="00A35FD2">
        <w:rPr>
          <w:snapToGrid w:val="0"/>
        </w:rPr>
        <w:instrText xml:space="preserve"> REF April2915 \h </w:instrText>
      </w:r>
      <w:r w:rsidRPr="00A35FD2">
        <w:rPr>
          <w:snapToGrid w:val="0"/>
        </w:rPr>
      </w:r>
      <w:r w:rsidRPr="00A35FD2">
        <w:rPr>
          <w:snapToGrid w:val="0"/>
        </w:rPr>
        <w:fldChar w:fldCharType="separate"/>
      </w:r>
      <w:r>
        <w:rPr>
          <w:noProof/>
        </w:rPr>
        <w:t>81</w:t>
      </w:r>
      <w:r w:rsidRPr="00A35FD2">
        <w:rPr>
          <w:snapToGrid w:val="0"/>
        </w:rPr>
        <w:fldChar w:fldCharType="end"/>
      </w:r>
      <w:r>
        <w:t xml:space="preserve"> настоящего постановления), следует, что 25 апреля 2015 г. следователь принял решение о приостановлении расследования невзирая на отсутствие ответа узбекских властей на запрос об оказании взаимной правовой помощи, что указывает на поверхностный подход к проведению расследования.</w:t>
      </w:r>
    </w:p>
    <w:p w:rsidR="00022850" w:rsidRPr="00A35FD2" w:rsidRDefault="00022850" w:rsidP="00A35FD2">
      <w:pPr>
        <w:pStyle w:val="ECHRPara"/>
        <w:rPr>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158</w:t>
      </w:r>
      <w:r w:rsidRPr="00A35FD2">
        <w:rPr>
          <w:snapToGrid w:val="0"/>
        </w:rPr>
        <w:fldChar w:fldCharType="end"/>
      </w:r>
      <w:r>
        <w:rPr>
          <w:snapToGrid w:val="0"/>
        </w:rPr>
        <w:t>.  </w:t>
      </w:r>
      <w:r>
        <w:t xml:space="preserve">В-третьих, из отчёта, подготовленного ОВД Басманного района (см. выше, пункт </w:t>
      </w:r>
      <w:r w:rsidRPr="00A35FD2">
        <w:rPr>
          <w:snapToGrid w:val="0"/>
        </w:rPr>
        <w:fldChar w:fldCharType="begin"/>
      </w:r>
      <w:r w:rsidRPr="00A35FD2">
        <w:rPr>
          <w:snapToGrid w:val="0"/>
        </w:rPr>
        <w:instrText xml:space="preserve"> REF June3014 \h </w:instrText>
      </w:r>
      <w:r w:rsidRPr="00A35FD2">
        <w:rPr>
          <w:snapToGrid w:val="0"/>
        </w:rPr>
      </w:r>
      <w:r w:rsidRPr="00A35FD2">
        <w:rPr>
          <w:snapToGrid w:val="0"/>
        </w:rPr>
        <w:fldChar w:fldCharType="separate"/>
      </w:r>
      <w:r>
        <w:rPr>
          <w:noProof/>
        </w:rPr>
        <w:t>76</w:t>
      </w:r>
      <w:r w:rsidRPr="00A35FD2">
        <w:rPr>
          <w:snapToGrid w:val="0"/>
        </w:rPr>
        <w:fldChar w:fldCharType="end"/>
      </w:r>
      <w:r>
        <w:t xml:space="preserve"> настоящего постановления), следует, что сотрудники ФСБ и Министерства внутренних дел Российской Федерации не ответили на запросы полиции.</w:t>
      </w:r>
      <w:r>
        <w:rPr>
          <w:snapToGrid w:val="0"/>
        </w:rPr>
        <w:t xml:space="preserve"> Европейский Суд полагает, что такое отсутствие взаимодействия между различными государственными органами в ситуации, когда жизни человека могла угрожать опасность и при которой можно было бы ожидать от государства принятия всех доступных ему мер для установления обстоятельств пропажи человека, свидетельствует об отсутствии у государства-ответчика подлинного намерения тщательно расследовать данный инцидент.</w:t>
      </w:r>
    </w:p>
    <w:p w:rsidR="00022850" w:rsidRPr="00A35FD2" w:rsidRDefault="00022850" w:rsidP="00A35FD2">
      <w:pPr>
        <w:pStyle w:val="ECHRPara"/>
        <w:rPr>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159</w:t>
      </w:r>
      <w:r w:rsidRPr="00A35FD2">
        <w:rPr>
          <w:snapToGrid w:val="0"/>
        </w:rPr>
        <w:fldChar w:fldCharType="end"/>
      </w:r>
      <w:r>
        <w:rPr>
          <w:snapToGrid w:val="0"/>
        </w:rPr>
        <w:t>.  Принимая во внимание вышеуказанные недостатки, Европейский Суд приходит к выводу, что расследование не было ни полным, ни всесторонним и, следовательно, не соответствует требованиям статьи 3 Конвенции.</w:t>
      </w:r>
    </w:p>
    <w:p w:rsidR="00022850" w:rsidRPr="00A35FD2" w:rsidRDefault="00022850" w:rsidP="00A35FD2">
      <w:pPr>
        <w:pStyle w:val="ECHRPara"/>
        <w:rPr>
          <w:snapToGrid w:val="0"/>
        </w:rPr>
      </w:pPr>
      <w:r w:rsidRPr="00A35FD2">
        <w:rPr>
          <w:snapToGrid w:val="0"/>
        </w:rPr>
        <w:fldChar w:fldCharType="begin"/>
      </w:r>
      <w:r w:rsidRPr="00A35FD2">
        <w:rPr>
          <w:snapToGrid w:val="0"/>
        </w:rPr>
        <w:instrText xml:space="preserve"> SEQ level0 \*arabic </w:instrText>
      </w:r>
      <w:r w:rsidRPr="00A35FD2">
        <w:rPr>
          <w:snapToGrid w:val="0"/>
        </w:rPr>
        <w:fldChar w:fldCharType="separate"/>
      </w:r>
      <w:r>
        <w:rPr>
          <w:noProof/>
          <w:snapToGrid w:val="0"/>
        </w:rPr>
        <w:t>160</w:t>
      </w:r>
      <w:r w:rsidRPr="00A35FD2">
        <w:rPr>
          <w:snapToGrid w:val="0"/>
        </w:rPr>
        <w:fldChar w:fldCharType="end"/>
      </w:r>
      <w:r>
        <w:rPr>
          <w:snapToGrid w:val="0"/>
        </w:rPr>
        <w:t>.  Соответственно, было допущено нарушение процессуального аспекта статьи 3 Конвенции.</w:t>
      </w:r>
    </w:p>
    <w:p w:rsidR="00022850" w:rsidRPr="00A35FD2" w:rsidRDefault="00022850" w:rsidP="00A35FD2">
      <w:pPr>
        <w:pStyle w:val="ECHRHeading1"/>
        <w:ind w:left="0" w:firstLine="0"/>
      </w:pPr>
      <w:r>
        <w:t>IV.  ВОПРОС О СОБЛЮДЕНИИ ОБЯЗАТЕЛЬСТВ ПО СТАТЬЕ 34 КОНВЕНЦИИ</w:t>
      </w:r>
    </w:p>
    <w:p w:rsidR="00022850" w:rsidRPr="00A35FD2" w:rsidRDefault="00022850" w:rsidP="00A35FD2">
      <w:pPr>
        <w:pStyle w:val="ECHRPara"/>
      </w:pPr>
      <w:fldSimple w:instr=" SEQ level0 \*arabic ">
        <w:r>
          <w:rPr>
            <w:noProof/>
          </w:rPr>
          <w:t>161</w:t>
        </w:r>
      </w:fldSimple>
      <w:r>
        <w:t>.  Представитель заявителя жаловался, что Россия нарушила свои обязательства по статье 34 Конвенции, не выполнив обеспечительную меру, указанную согласно правилу 39 Регламента Европейского Суда. Статья 34 Конвенции гласит:</w:t>
      </w:r>
    </w:p>
    <w:p w:rsidR="00022850" w:rsidRPr="00A35FD2" w:rsidRDefault="00022850" w:rsidP="00A35FD2">
      <w:pPr>
        <w:pStyle w:val="ECHRParaQuote"/>
      </w:pPr>
      <w:r>
        <w:t>«Суд может принимать жалобы от любого физического лица, любой неправительственной организации или любой группы частных лиц, которые утверждают, что явились жертвами нарушения одной из Высоких Договаривающихся Сторон их прав, признанных в настоящей Конвенции или в Протоколах к ней. Высокие Договаривающиеся Стороны обязуются никоим образом не препятствовать эффективному осуществлению этого права».</w:t>
      </w:r>
    </w:p>
    <w:p w:rsidR="00022850" w:rsidRPr="00A35FD2" w:rsidRDefault="00022850" w:rsidP="00A35FD2">
      <w:pPr>
        <w:pStyle w:val="ECHRPara"/>
      </w:pPr>
      <w:fldSimple w:instr=" SEQ level0 \*arabic ">
        <w:r>
          <w:rPr>
            <w:noProof/>
          </w:rPr>
          <w:t>162</w:t>
        </w:r>
      </w:fldSimple>
      <w:r>
        <w:t>.  Власти никак не прокомментировали эту часть замечаний представителя заявителя.</w:t>
      </w:r>
    </w:p>
    <w:p w:rsidR="00022850" w:rsidRPr="00A35FD2" w:rsidRDefault="00022850" w:rsidP="00A35FD2">
      <w:pPr>
        <w:pStyle w:val="ECHRPara"/>
      </w:pPr>
      <w:fldSimple w:instr=" SEQ level0 \*arabic ">
        <w:r>
          <w:rPr>
            <w:noProof/>
          </w:rPr>
          <w:t>163</w:t>
        </w:r>
      </w:fldSimple>
      <w:r>
        <w:t>.  Европейский Суд напоминает о соответствующих общих принципах, резюмированных, в том числе, в упомянутом выше постановлении Европейского Суда по делу «Абдулхаков против России» (§ 222—225). Суд также отмечает, что в определённых обстоятельствах вывоз заявителя против его воли в страну, отличную от страны, в которой ему якобы угрожает опасность подвергнуться жестокому обращению, может представлять собой нарушение такой обеспечительной меры (там же, § 227)</w:t>
      </w:r>
    </w:p>
    <w:p w:rsidR="00022850" w:rsidRPr="00A35FD2" w:rsidRDefault="00022850" w:rsidP="00A35FD2">
      <w:pPr>
        <w:pStyle w:val="ECHRPara"/>
      </w:pPr>
      <w:fldSimple w:instr=" SEQ level0 \*arabic ">
        <w:r>
          <w:rPr>
            <w:noProof/>
          </w:rPr>
          <w:t>164</w:t>
        </w:r>
      </w:fldSimple>
      <w:r>
        <w:t xml:space="preserve">.  Однако, с учётом выводов Европейского Суда по настоящему делу (см. выше, пункт </w:t>
      </w:r>
      <w:r w:rsidRPr="00A35FD2">
        <w:fldChar w:fldCharType="begin"/>
      </w:r>
      <w:r w:rsidRPr="00A35FD2">
        <w:instrText xml:space="preserve"> REF p147 \h </w:instrText>
      </w:r>
      <w:r w:rsidRPr="00A35FD2">
        <w:fldChar w:fldCharType="separate"/>
      </w:r>
      <w:r>
        <w:rPr>
          <w:noProof/>
        </w:rPr>
        <w:t>147</w:t>
      </w:r>
      <w:r w:rsidRPr="00A35FD2">
        <w:fldChar w:fldCharType="end"/>
      </w:r>
      <w:r>
        <w:t xml:space="preserve"> настоящего постановления), Европейский Суд считает, что нет оснований для вывода о том, что Россия нарушила своё обязательство, вытекающее из статьи 34 Конвенции (см. постановление Европейского Суда от 12 декабря 2013 г. по делу «Латипов против России» [</w:t>
      </w:r>
      <w:r>
        <w:rPr>
          <w:i/>
        </w:rPr>
        <w:t>Latipov v. Russia</w:t>
      </w:r>
      <w:r>
        <w:t xml:space="preserve">], жалоба № 77658/11, </w:t>
      </w:r>
      <w:r>
        <w:br/>
        <w:t>§ 151).</w:t>
      </w:r>
    </w:p>
    <w:p w:rsidR="00022850" w:rsidRPr="00A35FD2" w:rsidRDefault="00022850" w:rsidP="00A35FD2">
      <w:pPr>
        <w:pStyle w:val="ECHRHeading1"/>
      </w:pPr>
      <w:r>
        <w:t>V.  ВОПРОС О СОБЛЮДЕНИИ ПРАВИЛА 39 РЕГЛАМЕНТА ЕВРОПЕЙСКОГО СУДА</w:t>
      </w:r>
    </w:p>
    <w:p w:rsidR="00022850" w:rsidRPr="00A35FD2" w:rsidRDefault="00022850" w:rsidP="00A35FD2">
      <w:pPr>
        <w:pStyle w:val="ECHRPara"/>
      </w:pPr>
      <w:fldSimple w:instr=" SEQ level0 \*arabic ">
        <w:r>
          <w:rPr>
            <w:noProof/>
          </w:rPr>
          <w:t>165</w:t>
        </w:r>
      </w:fldSimple>
      <w:r>
        <w:t>.  Европейский Суд напоминает, что в соответствии с пунктом 2 статьи 44 Конвенции настоящее постановление не вступит в силу до тех пор, пока (а) стороны не заявят, что они не будут ходатайствовать о передаче дела в Большую Палату, (б) в течение трёх месяцев с даты вынесения постановления не поступит запроса о передаче дела в Большую Палату, или (в) коллегия Большой Палаты не отклонит все запросы о передаче дела в Большую Палату согласно статье 43 Конвенции.</w:t>
      </w:r>
    </w:p>
    <w:p w:rsidR="00022850" w:rsidRPr="00A35FD2" w:rsidRDefault="00022850" w:rsidP="00A35FD2">
      <w:pPr>
        <w:pStyle w:val="ECHRPara"/>
      </w:pPr>
      <w:fldSimple w:instr=" SEQ level0 \*arabic ">
        <w:r>
          <w:rPr>
            <w:noProof/>
          </w:rPr>
          <w:t>166</w:t>
        </w:r>
      </w:fldSimple>
      <w:r>
        <w:t xml:space="preserve">.  Однако, с учётом того, что заявитель в настоящее время находится в тюрьме в Узбекистане, указание, сделанное властям в соответствии с правилом 39 Регламента Европейского Суда (см. выше, пункт </w:t>
      </w:r>
      <w:r w:rsidRPr="00A35FD2">
        <w:fldChar w:fldCharType="begin"/>
      </w:r>
      <w:r w:rsidRPr="00A35FD2">
        <w:instrText xml:space="preserve"> REF R39 \h </w:instrText>
      </w:r>
      <w:r w:rsidRPr="00A35FD2">
        <w:fldChar w:fldCharType="separate"/>
      </w:r>
      <w:r>
        <w:rPr>
          <w:noProof/>
        </w:rPr>
        <w:t>4</w:t>
      </w:r>
      <w:r w:rsidRPr="00A35FD2">
        <w:fldChar w:fldCharType="end"/>
      </w:r>
      <w:r>
        <w:t xml:space="preserve"> настоящего постановления), потеряло свой смысл. Поэтому целесообразно прекратить действие указания, сделанного Властям в соответствии с правилом 39.</w:t>
      </w:r>
    </w:p>
    <w:p w:rsidR="00022850" w:rsidRPr="00A35FD2" w:rsidRDefault="00022850" w:rsidP="00A35FD2">
      <w:pPr>
        <w:pStyle w:val="ECHRHeading1"/>
      </w:pPr>
      <w:r>
        <w:t>VI.  В ПОРЯДКЕ ПРИМЕНЕНИЯ СТАТЬИ 41 КОНВЕНЦИИ</w:t>
      </w:r>
    </w:p>
    <w:p w:rsidR="00022850" w:rsidRPr="00A35FD2" w:rsidRDefault="00022850" w:rsidP="00A35FD2">
      <w:pPr>
        <w:pStyle w:val="ECHRPara"/>
      </w:pPr>
      <w:fldSimple w:instr=" SEQ level0 \*arabic ">
        <w:r>
          <w:rPr>
            <w:noProof/>
          </w:rPr>
          <w:t>167</w:t>
        </w:r>
      </w:fldSimple>
      <w:r>
        <w:t>.  Статья 41 Конвенции предусматривает следующее:</w:t>
      </w:r>
    </w:p>
    <w:p w:rsidR="00022850" w:rsidRPr="00A35FD2" w:rsidRDefault="00022850" w:rsidP="005E3E9E">
      <w:pPr>
        <w:pStyle w:val="ECHRParaQuote"/>
        <w:keepLines/>
      </w:pPr>
      <w: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022850" w:rsidRPr="00A35FD2" w:rsidRDefault="00022850" w:rsidP="00A35FD2">
      <w:pPr>
        <w:pStyle w:val="ECHRHeading2"/>
      </w:pPr>
      <w:r>
        <w:t>А.  Вопрос о причинённом заявителю моральном вреде</w:t>
      </w:r>
    </w:p>
    <w:p w:rsidR="00022850" w:rsidRPr="00A35FD2" w:rsidRDefault="00022850" w:rsidP="00A35FD2">
      <w:pPr>
        <w:pStyle w:val="ECHRPara"/>
      </w:pPr>
      <w:fldSimple w:instr=" SEQ level0 \*arabic ">
        <w:r>
          <w:rPr>
            <w:noProof/>
          </w:rPr>
          <w:t>168</w:t>
        </w:r>
      </w:fldSimple>
      <w:r>
        <w:t>.  Представитель заявителя утверждал, что заявителю был причинён моральный вред. Он предложил Европейскому Суду определить размер суммы компенсации, подлежащей уплате по этому основанию.</w:t>
      </w:r>
    </w:p>
    <w:p w:rsidR="00022850" w:rsidRPr="00A35FD2" w:rsidRDefault="00022850" w:rsidP="00A35FD2">
      <w:pPr>
        <w:pStyle w:val="ECHRPara"/>
      </w:pPr>
      <w:fldSimple w:instr=" SEQ level0 \*arabic ">
        <w:r>
          <w:rPr>
            <w:noProof/>
          </w:rPr>
          <w:t>169</w:t>
        </w:r>
      </w:fldSimple>
      <w:r>
        <w:t>.  Власти утверждали, что, по их мнению, в настоящем деле не было допущено никаких нарушений положений Конвенции. Однако если Европейский Суд придёт к обратному выводу, то установление нарушения само по себе будет достаточной справедливой компенсацией.</w:t>
      </w:r>
    </w:p>
    <w:p w:rsidR="00022850" w:rsidRPr="00A35FD2" w:rsidRDefault="00022850" w:rsidP="00A35FD2">
      <w:pPr>
        <w:pStyle w:val="ECHRPara"/>
      </w:pPr>
      <w:fldSimple w:instr=" SEQ level0 \*arabic ">
        <w:r>
          <w:rPr>
            <w:noProof/>
          </w:rPr>
          <w:t>170</w:t>
        </w:r>
      </w:fldSimple>
      <w:r>
        <w:t>.  В настоящем деле Европейский Суд установил нарушения материально-правового и процессуального аспектов статьи 3 Конвенции. Суд считает уместным присудить заявителю 19 500 евро.</w:t>
      </w:r>
    </w:p>
    <w:p w:rsidR="00022850" w:rsidRPr="00A35FD2" w:rsidRDefault="00022850" w:rsidP="00A35FD2">
      <w:pPr>
        <w:pStyle w:val="ECHRPara"/>
      </w:pPr>
      <w:fldSimple w:instr=" SEQ level0 \*arabic ">
        <w:r>
          <w:rPr>
            <w:noProof/>
          </w:rPr>
          <w:t>171</w:t>
        </w:r>
      </w:fldSimple>
      <w:r>
        <w:t xml:space="preserve">.  Ввиду продолжающегося тюремного заключения заявителя и его крайне уязвимой ситуации в Узбекистане Европейский Суд считает уместным передать присуждённую ему сумму в доверительное управление его представителя (см. упомянутое выше постановление Европейского Суда по делу «Савриддин Джураев против России», </w:t>
      </w:r>
      <w:r>
        <w:br/>
        <w:t>§ 251 и п. 6 (а) (i) резолютивной части; а также упомянутое выше постановление Европейского Суда по делу «Ермаков против России», § 293 и п. 9 (а) (i) резолютивной части).</w:t>
      </w:r>
    </w:p>
    <w:p w:rsidR="00022850" w:rsidRPr="00A35FD2" w:rsidRDefault="00022850" w:rsidP="00A35FD2">
      <w:pPr>
        <w:pStyle w:val="ECHRHeading2"/>
      </w:pPr>
      <w:r>
        <w:t>Б.  Процентная ставка при просрочке выплаты компенсации</w:t>
      </w:r>
    </w:p>
    <w:p w:rsidR="00022850" w:rsidRPr="00A35FD2" w:rsidRDefault="00022850" w:rsidP="00A35FD2">
      <w:pPr>
        <w:pStyle w:val="ECHRPara"/>
      </w:pPr>
      <w:fldSimple w:instr=" SEQ level0 \*arabic ">
        <w:r>
          <w:rPr>
            <w:noProof/>
          </w:rPr>
          <w:t>172</w:t>
        </w:r>
      </w:fldSimple>
      <w:r>
        <w:t>.  Европейский Суд считает целесообразным установить процентную ставку за просрочку платежа в размере, равном предельной учётной ставке Европейского центрального банка, плюс три процентных пункта.</w:t>
      </w:r>
    </w:p>
    <w:p w:rsidR="00022850" w:rsidRPr="00A35FD2" w:rsidRDefault="00022850" w:rsidP="00A35FD2">
      <w:pPr>
        <w:pStyle w:val="ECHRTitle1"/>
      </w:pPr>
      <w:r>
        <w:t>ПО ЭТИМ ОСНОВАНИЯМ СУД ЕДИНОГЛАСНО:</w:t>
      </w:r>
    </w:p>
    <w:p w:rsidR="00022850" w:rsidRPr="00A35FD2" w:rsidRDefault="00022850" w:rsidP="00A35FD2">
      <w:pPr>
        <w:pStyle w:val="JuList"/>
      </w:pPr>
      <w:r>
        <w:t>1.  </w:t>
      </w:r>
      <w:r>
        <w:rPr>
          <w:i/>
        </w:rPr>
        <w:t>постановил</w:t>
      </w:r>
      <w:r>
        <w:t>, что государство-ответчик не выполнило своего обязательства, предусмотренного статьёй 38 Конвенции, по созданию всех необходимых условий для эффективного рассмотрения жалобы Европейским Судом;</w:t>
      </w:r>
    </w:p>
    <w:p w:rsidR="00022850" w:rsidRPr="0007533F" w:rsidRDefault="00022850" w:rsidP="00A35FD2">
      <w:pPr>
        <w:pStyle w:val="JuList"/>
      </w:pPr>
    </w:p>
    <w:p w:rsidR="00022850" w:rsidRPr="00A35FD2" w:rsidRDefault="00022850" w:rsidP="00A35FD2">
      <w:pPr>
        <w:pStyle w:val="JuList"/>
      </w:pPr>
      <w:r>
        <w:t>2.  </w:t>
      </w:r>
      <w:r>
        <w:rPr>
          <w:i/>
        </w:rPr>
        <w:t>признал</w:t>
      </w:r>
      <w:r>
        <w:t xml:space="preserve"> жалобу приемлемой;</w:t>
      </w:r>
    </w:p>
    <w:p w:rsidR="00022850" w:rsidRPr="0007533F" w:rsidRDefault="00022850" w:rsidP="00A35FD2">
      <w:pPr>
        <w:pStyle w:val="JuList"/>
      </w:pPr>
    </w:p>
    <w:p w:rsidR="00022850" w:rsidRPr="00A35FD2" w:rsidRDefault="00022850" w:rsidP="00A35FD2">
      <w:pPr>
        <w:pStyle w:val="JuList"/>
      </w:pPr>
      <w:r>
        <w:t>3.  </w:t>
      </w:r>
      <w:r>
        <w:rPr>
          <w:i/>
        </w:rPr>
        <w:t>постановил</w:t>
      </w:r>
      <w:r>
        <w:t>, что по настоящему делу было допущено нарушение материально-правового аспекта статьи 3 Конвенции;</w:t>
      </w:r>
    </w:p>
    <w:p w:rsidR="00022850" w:rsidRPr="0007533F" w:rsidRDefault="00022850" w:rsidP="00A35FD2">
      <w:pPr>
        <w:pStyle w:val="JuList"/>
      </w:pPr>
    </w:p>
    <w:p w:rsidR="00022850" w:rsidRPr="00A35FD2" w:rsidRDefault="00022850" w:rsidP="00A35FD2">
      <w:pPr>
        <w:pStyle w:val="JuList"/>
      </w:pPr>
      <w:r>
        <w:t>4.  </w:t>
      </w:r>
      <w:r>
        <w:rPr>
          <w:i/>
        </w:rPr>
        <w:t>постановил</w:t>
      </w:r>
      <w:r>
        <w:t xml:space="preserve">, что по настоящему делу </w:t>
      </w:r>
      <w:bookmarkStart w:id="60" w:name="_GoBack"/>
      <w:bookmarkEnd w:id="60"/>
      <w:r>
        <w:t>было допущено нарушение процессуального аспекта статьи 3 Конвенции;</w:t>
      </w:r>
    </w:p>
    <w:p w:rsidR="00022850" w:rsidRPr="0007533F" w:rsidRDefault="00022850" w:rsidP="00A35FD2">
      <w:pPr>
        <w:pStyle w:val="JuList"/>
      </w:pPr>
    </w:p>
    <w:p w:rsidR="00022850" w:rsidRPr="00A35FD2" w:rsidRDefault="00022850" w:rsidP="00A35FD2">
      <w:pPr>
        <w:pStyle w:val="JuList"/>
      </w:pPr>
      <w:r>
        <w:t>5.  </w:t>
      </w:r>
      <w:r>
        <w:rPr>
          <w:i/>
        </w:rPr>
        <w:t>постановил</w:t>
      </w:r>
      <w:r>
        <w:t>, что по настоящему делу не было допущено никакого нарушения требований статьи 34 Конвенции;</w:t>
      </w:r>
    </w:p>
    <w:p w:rsidR="00022850" w:rsidRPr="0007533F" w:rsidRDefault="00022850" w:rsidP="00A35FD2">
      <w:pPr>
        <w:pStyle w:val="JuList"/>
      </w:pPr>
    </w:p>
    <w:p w:rsidR="00022850" w:rsidRPr="00A35FD2" w:rsidRDefault="00022850" w:rsidP="00A35FD2">
      <w:pPr>
        <w:pStyle w:val="JuList"/>
      </w:pPr>
      <w:r>
        <w:t>6.  </w:t>
      </w:r>
      <w:r>
        <w:rPr>
          <w:i/>
        </w:rPr>
        <w:t>решил</w:t>
      </w:r>
      <w:r>
        <w:t xml:space="preserve"> прекратить применение правила 39 Регламента Суда;</w:t>
      </w:r>
    </w:p>
    <w:p w:rsidR="00022850" w:rsidRPr="0007533F" w:rsidRDefault="00022850" w:rsidP="00A35FD2">
      <w:pPr>
        <w:pStyle w:val="JuList"/>
      </w:pPr>
    </w:p>
    <w:p w:rsidR="00022850" w:rsidRPr="00A35FD2" w:rsidRDefault="00022850" w:rsidP="00A35FD2">
      <w:pPr>
        <w:pStyle w:val="JuList"/>
      </w:pPr>
      <w:r>
        <w:t>7.  </w:t>
      </w:r>
      <w:r>
        <w:rPr>
          <w:i/>
        </w:rPr>
        <w:t>постановил:</w:t>
      </w:r>
    </w:p>
    <w:p w:rsidR="00022850" w:rsidRPr="00A35FD2" w:rsidRDefault="00022850" w:rsidP="00A35FD2">
      <w:pPr>
        <w:pStyle w:val="JuLista"/>
      </w:pPr>
      <w:r>
        <w:t xml:space="preserve">(а)  что в течение трёх месяцев со дня вступления данного постановления в силу в соответствии с пунктом 2 статьи 44 Конвенции государство-ответчик должно выплатить заявителю </w:t>
      </w:r>
      <w:r>
        <w:br/>
        <w:t>19 500 (девятнадцать тысяч пятьсот) евро в валюте государства-ответчика по курсу, установленному на день выплаты, а также все налоги, подлежащие начислению на указанную сумму, в качестве возмещения морального вреда. Данная сумма подлежит передаче представителю заявителя в Европейском Суде в доверительную собственность;</w:t>
      </w:r>
    </w:p>
    <w:p w:rsidR="00022850" w:rsidRPr="00A35FD2" w:rsidRDefault="00022850" w:rsidP="00A35FD2">
      <w:pPr>
        <w:pStyle w:val="JuLista"/>
      </w:pPr>
      <w:r>
        <w:t>(б)  что с момента истечения вышеуказанного трёхмесячного срока до момента выплаты компенсации на данную сумму начисляются простые проценты в размере, равном предельной учётной ставке Европейского Центрального банка в течение периода начисления пени, плюс три процентных пункта;</w:t>
      </w:r>
    </w:p>
    <w:p w:rsidR="00022850" w:rsidRPr="00A35FD2" w:rsidRDefault="00022850" w:rsidP="00A35FD2">
      <w:pPr>
        <w:pStyle w:val="JuParaLast"/>
      </w:pPr>
      <w:r>
        <w:t>Совершено на английском языке. Уведомление о постановлении направлено в письменном виде 26 января 2017 г. в соответствии с пунктами 2 и 3 правила 77 Регламента Европейского Суда.</w:t>
      </w:r>
    </w:p>
    <w:p w:rsidR="00022850" w:rsidRPr="00A35FD2" w:rsidRDefault="00022850" w:rsidP="00A35FD2">
      <w:pPr>
        <w:pStyle w:val="JuSigned"/>
      </w:pPr>
      <w:r>
        <w:tab/>
        <w:t>Фатош Араци</w:t>
      </w:r>
      <w:r>
        <w:tab/>
        <w:t>Луис Лопес Герра</w:t>
      </w:r>
      <w:r>
        <w:br/>
      </w:r>
      <w:r>
        <w:tab/>
        <w:t>Заместитель Секретаря</w:t>
      </w:r>
      <w:r>
        <w:tab/>
        <w:t>Председатель</w:t>
      </w:r>
    </w:p>
    <w:sectPr w:rsidR="00022850" w:rsidRPr="00A35FD2" w:rsidSect="00060F09">
      <w:headerReference w:type="even" r:id="rId11"/>
      <w:headerReference w:type="default" r:id="rId12"/>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850" w:rsidRDefault="00022850" w:rsidP="00014566">
      <w:r>
        <w:separator/>
      </w:r>
    </w:p>
  </w:endnote>
  <w:endnote w:type="continuationSeparator" w:id="0">
    <w:p w:rsidR="00022850" w:rsidRDefault="00022850" w:rsidP="00014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MS Gothic">
    <w:altName w:val="?l?r ?S?V?b?N"/>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50" w:rsidRPr="00150BFA" w:rsidRDefault="00022850" w:rsidP="00060F09">
    <w:pPr>
      <w:jc w:val="center"/>
    </w:pPr>
    <w:r w:rsidRPr="00FA7741">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i1028" type="#_x0000_t75" style="width:60pt;height:48.75pt;visibility:visible">
          <v:imagedata r:id="rId1" o:title=""/>
        </v:shape>
      </w:pict>
    </w:r>
  </w:p>
  <w:p w:rsidR="00022850" w:rsidRDefault="00022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850" w:rsidRDefault="00022850" w:rsidP="00014566">
      <w:r>
        <w:separator/>
      </w:r>
    </w:p>
  </w:footnote>
  <w:footnote w:type="continuationSeparator" w:id="0">
    <w:p w:rsidR="00022850" w:rsidRDefault="00022850" w:rsidP="00014566">
      <w:r>
        <w:continuationSeparator/>
      </w:r>
    </w:p>
  </w:footnote>
  <w:footnote w:id="1">
    <w:p w:rsidR="00022850" w:rsidRDefault="00022850">
      <w:pPr>
        <w:pStyle w:val="FootnoteText"/>
      </w:pPr>
      <w:r>
        <w:t xml:space="preserve">1.  См. пункт </w:t>
      </w:r>
      <w:r>
        <w:fldChar w:fldCharType="begin"/>
      </w:r>
      <w:r>
        <w:instrText xml:space="preserve"> REF open2 \h </w:instrText>
      </w:r>
      <w:r>
        <w:fldChar w:fldCharType="separate"/>
      </w:r>
      <w:r>
        <w:rPr>
          <w:noProof/>
        </w:rPr>
        <w:t>77</w:t>
      </w:r>
      <w:r>
        <w:fldChar w:fldCharType="end"/>
      </w:r>
      <w:r>
        <w:t xml:space="preserve"> ниже, из которого следует, в действительности эта дата – 9 июля 2014 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50" w:rsidRPr="00D60D87" w:rsidRDefault="00022850" w:rsidP="00060F09">
    <w:pPr>
      <w:pStyle w:val="ECHRHeader"/>
      <w:jc w:val="center"/>
      <w:rPr>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50" w:rsidRPr="00A45145" w:rsidRDefault="00022850" w:rsidP="00060F09">
    <w:pPr>
      <w:jc w:val="center"/>
    </w:pPr>
    <w:r w:rsidRPr="00FA7741">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6" type="#_x0000_t75" style="width:233.25pt;height:96pt;visibility:visible">
          <v:imagedata r:id="rId1" o:title=""/>
        </v:shape>
      </w:pict>
    </w:r>
  </w:p>
  <w:p w:rsidR="00022850" w:rsidRDefault="000228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50" w:rsidRPr="00FF2306" w:rsidRDefault="00022850" w:rsidP="00EE1DA9">
    <w:pPr>
      <w:pStyle w:val="ECHRHeader"/>
    </w:pPr>
    <w:r>
      <w:rPr>
        <w:rStyle w:val="PageNumber"/>
        <w:szCs w:val="18"/>
      </w:rPr>
      <w:fldChar w:fldCharType="begin"/>
    </w:r>
    <w:r>
      <w:rPr>
        <w:rStyle w:val="PageNumber"/>
        <w:szCs w:val="18"/>
      </w:rPr>
      <w:instrText xml:space="preserve"> PAGE </w:instrText>
    </w:r>
    <w:r>
      <w:rPr>
        <w:rStyle w:val="PageNumber"/>
        <w:szCs w:val="18"/>
      </w:rPr>
      <w:fldChar w:fldCharType="separate"/>
    </w:r>
    <w:r>
      <w:rPr>
        <w:rStyle w:val="PageNumber"/>
        <w:noProof/>
        <w:szCs w:val="18"/>
      </w:rPr>
      <w:t>34</w:t>
    </w:r>
    <w:r>
      <w:rPr>
        <w:rStyle w:val="PageNumber"/>
        <w:szCs w:val="18"/>
      </w:rPr>
      <w:fldChar w:fldCharType="end"/>
    </w:r>
    <w:r>
      <w:tab/>
      <w:t>ПОСТАНОВЛЕНИЕ ПО ДЕЛУ «ХАМИДКАРИЕВ против РОССИИ»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850" w:rsidRPr="00D60D87" w:rsidRDefault="00022850" w:rsidP="00D60D87">
    <w:pPr>
      <w:pStyle w:val="ECHRHeader"/>
    </w:pPr>
    <w:r>
      <w:tab/>
      <w:t>ПОСТАНОВЛЕНИЕ ПО ДЕЛУ «ХАМИДКАРИЕВ против РОССИИ»</w:t>
    </w:r>
    <w:r>
      <w:tab/>
    </w:r>
    <w:r>
      <w:rPr>
        <w:rStyle w:val="PageNumber"/>
        <w:szCs w:val="18"/>
      </w:rPr>
      <w:fldChar w:fldCharType="begin"/>
    </w:r>
    <w:r>
      <w:rPr>
        <w:rStyle w:val="PageNumber"/>
        <w:szCs w:val="18"/>
      </w:rPr>
      <w:instrText xml:space="preserve"> PAGE </w:instrText>
    </w:r>
    <w:r>
      <w:rPr>
        <w:rStyle w:val="PageNumber"/>
        <w:szCs w:val="18"/>
      </w:rPr>
      <w:fldChar w:fldCharType="separate"/>
    </w:r>
    <w:r>
      <w:rPr>
        <w:rStyle w:val="PageNumber"/>
        <w:noProof/>
        <w:szCs w:val="18"/>
      </w:rPr>
      <w:t>35</w:t>
    </w:r>
    <w:r>
      <w:rPr>
        <w:rStyle w:val="PageNumber"/>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0180FE6"/>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B90ECFBC"/>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C5B8BEFC"/>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6F1CF73A"/>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B2F848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6004F"/>
    <w:multiLevelType w:val="multilevel"/>
    <w:tmpl w:val="040C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3F153D"/>
    <w:multiLevelType w:val="multilevel"/>
    <w:tmpl w:val="040C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5137A9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FEB4AC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6C33865"/>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67FD1241"/>
    <w:multiLevelType w:val="hybridMultilevel"/>
    <w:tmpl w:val="F6D86CC2"/>
    <w:lvl w:ilvl="0" w:tplc="E4205412">
      <w:start w:val="1"/>
      <w:numFmt w:val="bullet"/>
      <w:pStyle w:val="ListBullet"/>
      <w:lvlText w:val=""/>
      <w:lvlJc w:val="left"/>
      <w:pPr>
        <w:tabs>
          <w:tab w:val="num" w:pos="851"/>
        </w:tabs>
        <w:ind w:left="568"/>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7737461D"/>
    <w:multiLevelType w:val="multilevel"/>
    <w:tmpl w:val="040C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0"/>
  </w:num>
  <w:num w:numId="14">
    <w:abstractNumId w:val="17"/>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12"/>
  </w:num>
  <w:num w:numId="26">
    <w:abstractNumId w:val="13"/>
  </w:num>
  <w:num w:numId="27">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stylePaneFormatFilter w:val="D004"/>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CB6863"/>
    <w:rsid w:val="00000F8A"/>
    <w:rsid w:val="000010ED"/>
    <w:rsid w:val="0000209C"/>
    <w:rsid w:val="00002525"/>
    <w:rsid w:val="000027BF"/>
    <w:rsid w:val="000041F8"/>
    <w:rsid w:val="000042A8"/>
    <w:rsid w:val="00004308"/>
    <w:rsid w:val="00005781"/>
    <w:rsid w:val="00005BF0"/>
    <w:rsid w:val="00007154"/>
    <w:rsid w:val="000103AE"/>
    <w:rsid w:val="000113A1"/>
    <w:rsid w:val="00011D69"/>
    <w:rsid w:val="00012AD3"/>
    <w:rsid w:val="00012D8E"/>
    <w:rsid w:val="0001395E"/>
    <w:rsid w:val="00014566"/>
    <w:rsid w:val="000150E0"/>
    <w:rsid w:val="00015890"/>
    <w:rsid w:val="00015C2D"/>
    <w:rsid w:val="00015F00"/>
    <w:rsid w:val="00020CAD"/>
    <w:rsid w:val="00020CF1"/>
    <w:rsid w:val="00022850"/>
    <w:rsid w:val="00022C1D"/>
    <w:rsid w:val="00023C3C"/>
    <w:rsid w:val="00023E67"/>
    <w:rsid w:val="00026CBE"/>
    <w:rsid w:val="0003108B"/>
    <w:rsid w:val="00031A2C"/>
    <w:rsid w:val="00033936"/>
    <w:rsid w:val="00033CD9"/>
    <w:rsid w:val="00034212"/>
    <w:rsid w:val="0003438B"/>
    <w:rsid w:val="00034987"/>
    <w:rsid w:val="000352A3"/>
    <w:rsid w:val="0004037F"/>
    <w:rsid w:val="000414D0"/>
    <w:rsid w:val="00041F07"/>
    <w:rsid w:val="000442EC"/>
    <w:rsid w:val="0005072A"/>
    <w:rsid w:val="0005779F"/>
    <w:rsid w:val="00057A1F"/>
    <w:rsid w:val="000602DF"/>
    <w:rsid w:val="00060944"/>
    <w:rsid w:val="00060F09"/>
    <w:rsid w:val="00060F1D"/>
    <w:rsid w:val="00061B05"/>
    <w:rsid w:val="00062973"/>
    <w:rsid w:val="00062D5D"/>
    <w:rsid w:val="000632D5"/>
    <w:rsid w:val="00063C5E"/>
    <w:rsid w:val="000644EE"/>
    <w:rsid w:val="000678CE"/>
    <w:rsid w:val="000700C3"/>
    <w:rsid w:val="00073195"/>
    <w:rsid w:val="00074647"/>
    <w:rsid w:val="0007533F"/>
    <w:rsid w:val="00075BEC"/>
    <w:rsid w:val="0008089B"/>
    <w:rsid w:val="00081264"/>
    <w:rsid w:val="000823EE"/>
    <w:rsid w:val="00083154"/>
    <w:rsid w:val="0008498F"/>
    <w:rsid w:val="00084C97"/>
    <w:rsid w:val="000856D7"/>
    <w:rsid w:val="00086EEB"/>
    <w:rsid w:val="000925AD"/>
    <w:rsid w:val="000952D3"/>
    <w:rsid w:val="00097A45"/>
    <w:rsid w:val="000A1AB8"/>
    <w:rsid w:val="000A24EB"/>
    <w:rsid w:val="000A35BC"/>
    <w:rsid w:val="000A64C0"/>
    <w:rsid w:val="000A676D"/>
    <w:rsid w:val="000A6E4B"/>
    <w:rsid w:val="000A710D"/>
    <w:rsid w:val="000A741F"/>
    <w:rsid w:val="000B00E9"/>
    <w:rsid w:val="000B03C5"/>
    <w:rsid w:val="000B1F83"/>
    <w:rsid w:val="000B2D57"/>
    <w:rsid w:val="000B4727"/>
    <w:rsid w:val="000B6923"/>
    <w:rsid w:val="000C01B6"/>
    <w:rsid w:val="000C033C"/>
    <w:rsid w:val="000C039F"/>
    <w:rsid w:val="000C0592"/>
    <w:rsid w:val="000C3687"/>
    <w:rsid w:val="000C3FCE"/>
    <w:rsid w:val="000C5F3C"/>
    <w:rsid w:val="000C6DCC"/>
    <w:rsid w:val="000C7301"/>
    <w:rsid w:val="000C7E12"/>
    <w:rsid w:val="000D47AA"/>
    <w:rsid w:val="000D5A8D"/>
    <w:rsid w:val="000D7130"/>
    <w:rsid w:val="000D721F"/>
    <w:rsid w:val="000D7CAB"/>
    <w:rsid w:val="000E069B"/>
    <w:rsid w:val="000E0E82"/>
    <w:rsid w:val="000E1DC5"/>
    <w:rsid w:val="000E223F"/>
    <w:rsid w:val="000E30FF"/>
    <w:rsid w:val="000E35AC"/>
    <w:rsid w:val="000E7948"/>
    <w:rsid w:val="000E7D45"/>
    <w:rsid w:val="000F0C10"/>
    <w:rsid w:val="000F2B0A"/>
    <w:rsid w:val="000F34EB"/>
    <w:rsid w:val="000F71A8"/>
    <w:rsid w:val="000F7851"/>
    <w:rsid w:val="000F7E82"/>
    <w:rsid w:val="00100226"/>
    <w:rsid w:val="0010122F"/>
    <w:rsid w:val="00103996"/>
    <w:rsid w:val="00104E23"/>
    <w:rsid w:val="001073CC"/>
    <w:rsid w:val="00110C53"/>
    <w:rsid w:val="00111575"/>
    <w:rsid w:val="00111B0C"/>
    <w:rsid w:val="0011299C"/>
    <w:rsid w:val="001133ED"/>
    <w:rsid w:val="00115498"/>
    <w:rsid w:val="00115617"/>
    <w:rsid w:val="00115BCA"/>
    <w:rsid w:val="0011708C"/>
    <w:rsid w:val="0012083E"/>
    <w:rsid w:val="00120D6C"/>
    <w:rsid w:val="001257EC"/>
    <w:rsid w:val="00125888"/>
    <w:rsid w:val="0012596D"/>
    <w:rsid w:val="00125A95"/>
    <w:rsid w:val="00125E8B"/>
    <w:rsid w:val="0012643B"/>
    <w:rsid w:val="00130A56"/>
    <w:rsid w:val="00130B05"/>
    <w:rsid w:val="00132C6A"/>
    <w:rsid w:val="00132FD6"/>
    <w:rsid w:val="00133D33"/>
    <w:rsid w:val="00134D64"/>
    <w:rsid w:val="00135A30"/>
    <w:rsid w:val="0013612C"/>
    <w:rsid w:val="00137FF6"/>
    <w:rsid w:val="00141650"/>
    <w:rsid w:val="00150BFA"/>
    <w:rsid w:val="001510BA"/>
    <w:rsid w:val="0015289F"/>
    <w:rsid w:val="00154F98"/>
    <w:rsid w:val="00156445"/>
    <w:rsid w:val="001576DF"/>
    <w:rsid w:val="00157F0A"/>
    <w:rsid w:val="00160268"/>
    <w:rsid w:val="00160E46"/>
    <w:rsid w:val="001629CB"/>
    <w:rsid w:val="00162A12"/>
    <w:rsid w:val="00166530"/>
    <w:rsid w:val="00166587"/>
    <w:rsid w:val="0016739D"/>
    <w:rsid w:val="00171806"/>
    <w:rsid w:val="00171D2E"/>
    <w:rsid w:val="00172489"/>
    <w:rsid w:val="0017336A"/>
    <w:rsid w:val="0017342F"/>
    <w:rsid w:val="00174643"/>
    <w:rsid w:val="00176D23"/>
    <w:rsid w:val="00177BF6"/>
    <w:rsid w:val="00181BD2"/>
    <w:rsid w:val="00182C9F"/>
    <w:rsid w:val="001832BD"/>
    <w:rsid w:val="00187433"/>
    <w:rsid w:val="00190082"/>
    <w:rsid w:val="001943B5"/>
    <w:rsid w:val="00195134"/>
    <w:rsid w:val="00197CCF"/>
    <w:rsid w:val="001A145B"/>
    <w:rsid w:val="001A1AB8"/>
    <w:rsid w:val="001A267D"/>
    <w:rsid w:val="001A5802"/>
    <w:rsid w:val="001A674C"/>
    <w:rsid w:val="001B28C1"/>
    <w:rsid w:val="001B3B12"/>
    <w:rsid w:val="001B3B24"/>
    <w:rsid w:val="001B4400"/>
    <w:rsid w:val="001B6166"/>
    <w:rsid w:val="001B61C7"/>
    <w:rsid w:val="001B701B"/>
    <w:rsid w:val="001C0341"/>
    <w:rsid w:val="001C0B48"/>
    <w:rsid w:val="001C0F98"/>
    <w:rsid w:val="001C2A42"/>
    <w:rsid w:val="001C3F55"/>
    <w:rsid w:val="001C5194"/>
    <w:rsid w:val="001C5EE1"/>
    <w:rsid w:val="001C6B5A"/>
    <w:rsid w:val="001C7B18"/>
    <w:rsid w:val="001D0BA0"/>
    <w:rsid w:val="001D15E3"/>
    <w:rsid w:val="001D42F3"/>
    <w:rsid w:val="001D4EBA"/>
    <w:rsid w:val="001D63ED"/>
    <w:rsid w:val="001D7348"/>
    <w:rsid w:val="001E035B"/>
    <w:rsid w:val="001E0961"/>
    <w:rsid w:val="001E13BA"/>
    <w:rsid w:val="001E3EAE"/>
    <w:rsid w:val="001E5348"/>
    <w:rsid w:val="001E6CF5"/>
    <w:rsid w:val="001E6F32"/>
    <w:rsid w:val="001F0B4A"/>
    <w:rsid w:val="001F2145"/>
    <w:rsid w:val="001F405B"/>
    <w:rsid w:val="001F5EC8"/>
    <w:rsid w:val="001F6262"/>
    <w:rsid w:val="001F67B0"/>
    <w:rsid w:val="001F7836"/>
    <w:rsid w:val="001F7B3D"/>
    <w:rsid w:val="00204D22"/>
    <w:rsid w:val="00205F9F"/>
    <w:rsid w:val="00206E68"/>
    <w:rsid w:val="00210338"/>
    <w:rsid w:val="00210E9E"/>
    <w:rsid w:val="002111F6"/>
    <w:rsid w:val="002115FC"/>
    <w:rsid w:val="002133F8"/>
    <w:rsid w:val="0021401D"/>
    <w:rsid w:val="0021423C"/>
    <w:rsid w:val="00214423"/>
    <w:rsid w:val="00222F9D"/>
    <w:rsid w:val="00230D00"/>
    <w:rsid w:val="00231DF7"/>
    <w:rsid w:val="00231FD1"/>
    <w:rsid w:val="00232CD3"/>
    <w:rsid w:val="002339E0"/>
    <w:rsid w:val="00233CF8"/>
    <w:rsid w:val="002355BB"/>
    <w:rsid w:val="0023575D"/>
    <w:rsid w:val="00235F32"/>
    <w:rsid w:val="00237148"/>
    <w:rsid w:val="00240B89"/>
    <w:rsid w:val="00240E5A"/>
    <w:rsid w:val="0024222D"/>
    <w:rsid w:val="0024273E"/>
    <w:rsid w:val="002449C8"/>
    <w:rsid w:val="00244B0E"/>
    <w:rsid w:val="00244F6C"/>
    <w:rsid w:val="002466F2"/>
    <w:rsid w:val="002517AC"/>
    <w:rsid w:val="00252949"/>
    <w:rsid w:val="002532C5"/>
    <w:rsid w:val="00256066"/>
    <w:rsid w:val="00260C03"/>
    <w:rsid w:val="002617D9"/>
    <w:rsid w:val="00261D8A"/>
    <w:rsid w:val="00262B27"/>
    <w:rsid w:val="0026540E"/>
    <w:rsid w:val="002654D8"/>
    <w:rsid w:val="00267A87"/>
    <w:rsid w:val="0027019E"/>
    <w:rsid w:val="00270E2F"/>
    <w:rsid w:val="00271D7F"/>
    <w:rsid w:val="0027225C"/>
    <w:rsid w:val="00272CF6"/>
    <w:rsid w:val="00275123"/>
    <w:rsid w:val="00276C3A"/>
    <w:rsid w:val="00277B18"/>
    <w:rsid w:val="00281CD6"/>
    <w:rsid w:val="00282240"/>
    <w:rsid w:val="00283429"/>
    <w:rsid w:val="002847EA"/>
    <w:rsid w:val="0028572A"/>
    <w:rsid w:val="00285910"/>
    <w:rsid w:val="00287711"/>
    <w:rsid w:val="0029341F"/>
    <w:rsid w:val="00293B3E"/>
    <w:rsid w:val="002948AD"/>
    <w:rsid w:val="00294C05"/>
    <w:rsid w:val="00294C92"/>
    <w:rsid w:val="00297093"/>
    <w:rsid w:val="002A01CC"/>
    <w:rsid w:val="002A03F1"/>
    <w:rsid w:val="002A3C6B"/>
    <w:rsid w:val="002A54D4"/>
    <w:rsid w:val="002A61B1"/>
    <w:rsid w:val="002A663C"/>
    <w:rsid w:val="002B1E6C"/>
    <w:rsid w:val="002B444B"/>
    <w:rsid w:val="002B4EF5"/>
    <w:rsid w:val="002B5887"/>
    <w:rsid w:val="002C0692"/>
    <w:rsid w:val="002C0E27"/>
    <w:rsid w:val="002C208F"/>
    <w:rsid w:val="002C3040"/>
    <w:rsid w:val="002C3E27"/>
    <w:rsid w:val="002C4964"/>
    <w:rsid w:val="002C6428"/>
    <w:rsid w:val="002D022D"/>
    <w:rsid w:val="002D12F8"/>
    <w:rsid w:val="002D24BB"/>
    <w:rsid w:val="002D4629"/>
    <w:rsid w:val="002D55F7"/>
    <w:rsid w:val="002D5CB2"/>
    <w:rsid w:val="002D67FC"/>
    <w:rsid w:val="002E0496"/>
    <w:rsid w:val="002E4EEE"/>
    <w:rsid w:val="002F000F"/>
    <w:rsid w:val="002F017D"/>
    <w:rsid w:val="002F0BAD"/>
    <w:rsid w:val="002F0CFD"/>
    <w:rsid w:val="002F2AF7"/>
    <w:rsid w:val="002F53AC"/>
    <w:rsid w:val="002F61BA"/>
    <w:rsid w:val="002F6F4C"/>
    <w:rsid w:val="002F74BA"/>
    <w:rsid w:val="002F7E1C"/>
    <w:rsid w:val="003000DE"/>
    <w:rsid w:val="003003E0"/>
    <w:rsid w:val="00301A75"/>
    <w:rsid w:val="00302F70"/>
    <w:rsid w:val="0030336F"/>
    <w:rsid w:val="0030375E"/>
    <w:rsid w:val="00304E27"/>
    <w:rsid w:val="003061E6"/>
    <w:rsid w:val="0030684F"/>
    <w:rsid w:val="00307B4E"/>
    <w:rsid w:val="00312A30"/>
    <w:rsid w:val="00312C8E"/>
    <w:rsid w:val="00314D22"/>
    <w:rsid w:val="003177FA"/>
    <w:rsid w:val="00317E75"/>
    <w:rsid w:val="00320F72"/>
    <w:rsid w:val="00322E0F"/>
    <w:rsid w:val="0032327A"/>
    <w:rsid w:val="0032349C"/>
    <w:rsid w:val="0032463E"/>
    <w:rsid w:val="00326224"/>
    <w:rsid w:val="00326AC5"/>
    <w:rsid w:val="00326D9F"/>
    <w:rsid w:val="0033125D"/>
    <w:rsid w:val="00331CD0"/>
    <w:rsid w:val="00334F98"/>
    <w:rsid w:val="00336FEE"/>
    <w:rsid w:val="00337EE4"/>
    <w:rsid w:val="00340FFD"/>
    <w:rsid w:val="0034533B"/>
    <w:rsid w:val="00347A39"/>
    <w:rsid w:val="003506B1"/>
    <w:rsid w:val="00351FC3"/>
    <w:rsid w:val="00352F36"/>
    <w:rsid w:val="003541FA"/>
    <w:rsid w:val="003558C1"/>
    <w:rsid w:val="00356AC7"/>
    <w:rsid w:val="003609FA"/>
    <w:rsid w:val="0036166D"/>
    <w:rsid w:val="00362B3E"/>
    <w:rsid w:val="00366C99"/>
    <w:rsid w:val="0036721F"/>
    <w:rsid w:val="003710C8"/>
    <w:rsid w:val="003727A1"/>
    <w:rsid w:val="00372851"/>
    <w:rsid w:val="00373EC3"/>
    <w:rsid w:val="003750BE"/>
    <w:rsid w:val="00376F5F"/>
    <w:rsid w:val="003813BD"/>
    <w:rsid w:val="00381BAB"/>
    <w:rsid w:val="003857BE"/>
    <w:rsid w:val="00385A4F"/>
    <w:rsid w:val="00385D92"/>
    <w:rsid w:val="003872FE"/>
    <w:rsid w:val="00387B9D"/>
    <w:rsid w:val="00391FCC"/>
    <w:rsid w:val="00393090"/>
    <w:rsid w:val="0039364F"/>
    <w:rsid w:val="00394664"/>
    <w:rsid w:val="00396686"/>
    <w:rsid w:val="0039778E"/>
    <w:rsid w:val="003A1E26"/>
    <w:rsid w:val="003A3500"/>
    <w:rsid w:val="003B4941"/>
    <w:rsid w:val="003B6FB5"/>
    <w:rsid w:val="003C0D42"/>
    <w:rsid w:val="003C1CCE"/>
    <w:rsid w:val="003C2DD7"/>
    <w:rsid w:val="003C43CE"/>
    <w:rsid w:val="003C5714"/>
    <w:rsid w:val="003C6B9F"/>
    <w:rsid w:val="003C6E2A"/>
    <w:rsid w:val="003D0299"/>
    <w:rsid w:val="003D4EA8"/>
    <w:rsid w:val="003D6AA4"/>
    <w:rsid w:val="003E4F4C"/>
    <w:rsid w:val="003E6044"/>
    <w:rsid w:val="003E6D80"/>
    <w:rsid w:val="003F05E6"/>
    <w:rsid w:val="003F05FA"/>
    <w:rsid w:val="003F244A"/>
    <w:rsid w:val="003F30B8"/>
    <w:rsid w:val="003F32FA"/>
    <w:rsid w:val="003F3BF1"/>
    <w:rsid w:val="003F4C45"/>
    <w:rsid w:val="003F5F3A"/>
    <w:rsid w:val="003F5F7B"/>
    <w:rsid w:val="003F608B"/>
    <w:rsid w:val="003F61A8"/>
    <w:rsid w:val="003F6407"/>
    <w:rsid w:val="003F6D69"/>
    <w:rsid w:val="003F7D64"/>
    <w:rsid w:val="00405AF6"/>
    <w:rsid w:val="00405C7A"/>
    <w:rsid w:val="00405EB2"/>
    <w:rsid w:val="00407686"/>
    <w:rsid w:val="00407C9B"/>
    <w:rsid w:val="00410EBD"/>
    <w:rsid w:val="00412C29"/>
    <w:rsid w:val="00412E9B"/>
    <w:rsid w:val="00414300"/>
    <w:rsid w:val="00414BA1"/>
    <w:rsid w:val="00414BA2"/>
    <w:rsid w:val="004167C8"/>
    <w:rsid w:val="00423A65"/>
    <w:rsid w:val="0042595B"/>
    <w:rsid w:val="00425C67"/>
    <w:rsid w:val="00426609"/>
    <w:rsid w:val="00427E74"/>
    <w:rsid w:val="00427E7A"/>
    <w:rsid w:val="00435744"/>
    <w:rsid w:val="00436307"/>
    <w:rsid w:val="00436C49"/>
    <w:rsid w:val="004442A0"/>
    <w:rsid w:val="00444A84"/>
    <w:rsid w:val="004451B6"/>
    <w:rsid w:val="00445366"/>
    <w:rsid w:val="004467AF"/>
    <w:rsid w:val="00447F5B"/>
    <w:rsid w:val="00455D71"/>
    <w:rsid w:val="004561E0"/>
    <w:rsid w:val="00456538"/>
    <w:rsid w:val="00456EBC"/>
    <w:rsid w:val="00457089"/>
    <w:rsid w:val="00460EC5"/>
    <w:rsid w:val="00461DB0"/>
    <w:rsid w:val="00462430"/>
    <w:rsid w:val="00463304"/>
    <w:rsid w:val="00463926"/>
    <w:rsid w:val="004646D2"/>
    <w:rsid w:val="004646E0"/>
    <w:rsid w:val="00464C9A"/>
    <w:rsid w:val="004667C5"/>
    <w:rsid w:val="004669D4"/>
    <w:rsid w:val="00466DBD"/>
    <w:rsid w:val="00467D7D"/>
    <w:rsid w:val="00470B2F"/>
    <w:rsid w:val="00474F3D"/>
    <w:rsid w:val="00475E02"/>
    <w:rsid w:val="00476FB6"/>
    <w:rsid w:val="004770EE"/>
    <w:rsid w:val="00477E3A"/>
    <w:rsid w:val="004813AD"/>
    <w:rsid w:val="00481685"/>
    <w:rsid w:val="00482859"/>
    <w:rsid w:val="00483E5F"/>
    <w:rsid w:val="00484FC8"/>
    <w:rsid w:val="00485FF9"/>
    <w:rsid w:val="004860B9"/>
    <w:rsid w:val="0048674F"/>
    <w:rsid w:val="00487470"/>
    <w:rsid w:val="004907F0"/>
    <w:rsid w:val="0049140B"/>
    <w:rsid w:val="004923A5"/>
    <w:rsid w:val="00492E36"/>
    <w:rsid w:val="004931C8"/>
    <w:rsid w:val="00496BFB"/>
    <w:rsid w:val="004A0AFE"/>
    <w:rsid w:val="004A0CDF"/>
    <w:rsid w:val="004A15C7"/>
    <w:rsid w:val="004A529E"/>
    <w:rsid w:val="004A6556"/>
    <w:rsid w:val="004B013B"/>
    <w:rsid w:val="004B112B"/>
    <w:rsid w:val="004B2273"/>
    <w:rsid w:val="004B5C3C"/>
    <w:rsid w:val="004B5DEA"/>
    <w:rsid w:val="004C01E4"/>
    <w:rsid w:val="004C086C"/>
    <w:rsid w:val="004C1F56"/>
    <w:rsid w:val="004C27BC"/>
    <w:rsid w:val="004C4667"/>
    <w:rsid w:val="004C488F"/>
    <w:rsid w:val="004D04DC"/>
    <w:rsid w:val="004D0AB2"/>
    <w:rsid w:val="004D15F3"/>
    <w:rsid w:val="004D28CE"/>
    <w:rsid w:val="004D333E"/>
    <w:rsid w:val="004D4C50"/>
    <w:rsid w:val="004D5311"/>
    <w:rsid w:val="004D55A2"/>
    <w:rsid w:val="004D5DCC"/>
    <w:rsid w:val="004D6DE0"/>
    <w:rsid w:val="004E10AA"/>
    <w:rsid w:val="004E2572"/>
    <w:rsid w:val="004F10AF"/>
    <w:rsid w:val="004F11A4"/>
    <w:rsid w:val="004F2107"/>
    <w:rsid w:val="004F2389"/>
    <w:rsid w:val="004F304D"/>
    <w:rsid w:val="004F61BE"/>
    <w:rsid w:val="004F66B1"/>
    <w:rsid w:val="005004CF"/>
    <w:rsid w:val="0050139D"/>
    <w:rsid w:val="00504278"/>
    <w:rsid w:val="0050460B"/>
    <w:rsid w:val="00511C07"/>
    <w:rsid w:val="00513B18"/>
    <w:rsid w:val="00514A2B"/>
    <w:rsid w:val="005167CE"/>
    <w:rsid w:val="005173A6"/>
    <w:rsid w:val="00517643"/>
    <w:rsid w:val="0051773A"/>
    <w:rsid w:val="00520BAA"/>
    <w:rsid w:val="00521BDB"/>
    <w:rsid w:val="00521CE9"/>
    <w:rsid w:val="00521FED"/>
    <w:rsid w:val="005223BF"/>
    <w:rsid w:val="00523FF3"/>
    <w:rsid w:val="0052467F"/>
    <w:rsid w:val="00525102"/>
    <w:rsid w:val="00525208"/>
    <w:rsid w:val="005257A5"/>
    <w:rsid w:val="00525E18"/>
    <w:rsid w:val="005264C0"/>
    <w:rsid w:val="00526A8A"/>
    <w:rsid w:val="00527C3E"/>
    <w:rsid w:val="00530EF4"/>
    <w:rsid w:val="00531DF2"/>
    <w:rsid w:val="00532980"/>
    <w:rsid w:val="00534FC4"/>
    <w:rsid w:val="00535D19"/>
    <w:rsid w:val="0054169D"/>
    <w:rsid w:val="00542C66"/>
    <w:rsid w:val="005442EE"/>
    <w:rsid w:val="00546F84"/>
    <w:rsid w:val="00547353"/>
    <w:rsid w:val="005474E7"/>
    <w:rsid w:val="00547FA8"/>
    <w:rsid w:val="00550E5A"/>
    <w:rsid w:val="005512A3"/>
    <w:rsid w:val="0055457B"/>
    <w:rsid w:val="00554971"/>
    <w:rsid w:val="00554A0C"/>
    <w:rsid w:val="005570F0"/>
    <w:rsid w:val="005578CE"/>
    <w:rsid w:val="00557D34"/>
    <w:rsid w:val="00562781"/>
    <w:rsid w:val="00563E83"/>
    <w:rsid w:val="00570BB8"/>
    <w:rsid w:val="0057271C"/>
    <w:rsid w:val="00572845"/>
    <w:rsid w:val="005815EA"/>
    <w:rsid w:val="0058290E"/>
    <w:rsid w:val="00583F93"/>
    <w:rsid w:val="005857A2"/>
    <w:rsid w:val="00587297"/>
    <w:rsid w:val="00592772"/>
    <w:rsid w:val="00592D49"/>
    <w:rsid w:val="0059574A"/>
    <w:rsid w:val="005A0F1A"/>
    <w:rsid w:val="005A1B9B"/>
    <w:rsid w:val="005A56CE"/>
    <w:rsid w:val="005A5C6F"/>
    <w:rsid w:val="005A6751"/>
    <w:rsid w:val="005B04EF"/>
    <w:rsid w:val="005B092E"/>
    <w:rsid w:val="005B0988"/>
    <w:rsid w:val="005B152C"/>
    <w:rsid w:val="005B1EE0"/>
    <w:rsid w:val="005B2B24"/>
    <w:rsid w:val="005B3171"/>
    <w:rsid w:val="005B4425"/>
    <w:rsid w:val="005B4B94"/>
    <w:rsid w:val="005B559A"/>
    <w:rsid w:val="005B6F4D"/>
    <w:rsid w:val="005B7D1D"/>
    <w:rsid w:val="005C2CCD"/>
    <w:rsid w:val="005C3EE8"/>
    <w:rsid w:val="005C62F5"/>
    <w:rsid w:val="005C662A"/>
    <w:rsid w:val="005C6FAA"/>
    <w:rsid w:val="005D0733"/>
    <w:rsid w:val="005D34F9"/>
    <w:rsid w:val="005D40FD"/>
    <w:rsid w:val="005D4190"/>
    <w:rsid w:val="005D67A3"/>
    <w:rsid w:val="005D7808"/>
    <w:rsid w:val="005E1050"/>
    <w:rsid w:val="005E1894"/>
    <w:rsid w:val="005E2716"/>
    <w:rsid w:val="005E2988"/>
    <w:rsid w:val="005E2A43"/>
    <w:rsid w:val="005E2A91"/>
    <w:rsid w:val="005E3085"/>
    <w:rsid w:val="005E32D6"/>
    <w:rsid w:val="005E3E9E"/>
    <w:rsid w:val="005E438A"/>
    <w:rsid w:val="005E60AB"/>
    <w:rsid w:val="005E7465"/>
    <w:rsid w:val="005F06A3"/>
    <w:rsid w:val="005F07BA"/>
    <w:rsid w:val="005F098A"/>
    <w:rsid w:val="005F4F2B"/>
    <w:rsid w:val="005F51E1"/>
    <w:rsid w:val="005F703B"/>
    <w:rsid w:val="005F7117"/>
    <w:rsid w:val="006013B1"/>
    <w:rsid w:val="00601B87"/>
    <w:rsid w:val="00602C17"/>
    <w:rsid w:val="006052C6"/>
    <w:rsid w:val="0060577C"/>
    <w:rsid w:val="00607E3B"/>
    <w:rsid w:val="0061058B"/>
    <w:rsid w:val="00611C80"/>
    <w:rsid w:val="006122DE"/>
    <w:rsid w:val="006124C7"/>
    <w:rsid w:val="00612D22"/>
    <w:rsid w:val="00615414"/>
    <w:rsid w:val="006204EA"/>
    <w:rsid w:val="00620692"/>
    <w:rsid w:val="00622F17"/>
    <w:rsid w:val="006242CA"/>
    <w:rsid w:val="00625C00"/>
    <w:rsid w:val="00626FD3"/>
    <w:rsid w:val="00627507"/>
    <w:rsid w:val="00627581"/>
    <w:rsid w:val="00631072"/>
    <w:rsid w:val="00632657"/>
    <w:rsid w:val="00633717"/>
    <w:rsid w:val="006344E1"/>
    <w:rsid w:val="006375EF"/>
    <w:rsid w:val="00637782"/>
    <w:rsid w:val="006416D3"/>
    <w:rsid w:val="006419AF"/>
    <w:rsid w:val="00645F92"/>
    <w:rsid w:val="0065085B"/>
    <w:rsid w:val="0065311A"/>
    <w:rsid w:val="006545C4"/>
    <w:rsid w:val="006571DD"/>
    <w:rsid w:val="0066053D"/>
    <w:rsid w:val="00661971"/>
    <w:rsid w:val="00661CE8"/>
    <w:rsid w:val="006623D9"/>
    <w:rsid w:val="00662D4A"/>
    <w:rsid w:val="0066550C"/>
    <w:rsid w:val="0067138C"/>
    <w:rsid w:val="006716F2"/>
    <w:rsid w:val="0067179C"/>
    <w:rsid w:val="0067245C"/>
    <w:rsid w:val="006744E3"/>
    <w:rsid w:val="00674776"/>
    <w:rsid w:val="00675475"/>
    <w:rsid w:val="00677CAD"/>
    <w:rsid w:val="00682BF2"/>
    <w:rsid w:val="006859CE"/>
    <w:rsid w:val="00690C12"/>
    <w:rsid w:val="00690D19"/>
    <w:rsid w:val="00691270"/>
    <w:rsid w:val="00693C6E"/>
    <w:rsid w:val="00694BA8"/>
    <w:rsid w:val="00695234"/>
    <w:rsid w:val="006960ED"/>
    <w:rsid w:val="00696655"/>
    <w:rsid w:val="006971F7"/>
    <w:rsid w:val="006A037C"/>
    <w:rsid w:val="006A1E22"/>
    <w:rsid w:val="006A36F4"/>
    <w:rsid w:val="006A406F"/>
    <w:rsid w:val="006A5D3A"/>
    <w:rsid w:val="006A5F15"/>
    <w:rsid w:val="006A6668"/>
    <w:rsid w:val="006B2008"/>
    <w:rsid w:val="006B601D"/>
    <w:rsid w:val="006B7CE6"/>
    <w:rsid w:val="006C23D4"/>
    <w:rsid w:val="006C3683"/>
    <w:rsid w:val="006C48D8"/>
    <w:rsid w:val="006C4B7C"/>
    <w:rsid w:val="006C5903"/>
    <w:rsid w:val="006C6737"/>
    <w:rsid w:val="006C7BB0"/>
    <w:rsid w:val="006D1AFC"/>
    <w:rsid w:val="006D2383"/>
    <w:rsid w:val="006D3237"/>
    <w:rsid w:val="006D3E5F"/>
    <w:rsid w:val="006D7F9F"/>
    <w:rsid w:val="006E2535"/>
    <w:rsid w:val="006E2A17"/>
    <w:rsid w:val="006E2E37"/>
    <w:rsid w:val="006E3CF1"/>
    <w:rsid w:val="006E744F"/>
    <w:rsid w:val="006E7E80"/>
    <w:rsid w:val="006F03BC"/>
    <w:rsid w:val="006F1DF9"/>
    <w:rsid w:val="006F24DB"/>
    <w:rsid w:val="006F400A"/>
    <w:rsid w:val="006F455D"/>
    <w:rsid w:val="006F48CA"/>
    <w:rsid w:val="006F5533"/>
    <w:rsid w:val="006F56CD"/>
    <w:rsid w:val="006F64DD"/>
    <w:rsid w:val="006F6FF6"/>
    <w:rsid w:val="00701DB9"/>
    <w:rsid w:val="0070268A"/>
    <w:rsid w:val="00704BAA"/>
    <w:rsid w:val="00706A7C"/>
    <w:rsid w:val="00710F42"/>
    <w:rsid w:val="0071126C"/>
    <w:rsid w:val="007112AC"/>
    <w:rsid w:val="00711410"/>
    <w:rsid w:val="0071156D"/>
    <w:rsid w:val="00711834"/>
    <w:rsid w:val="00711B04"/>
    <w:rsid w:val="0071451C"/>
    <w:rsid w:val="00714CD1"/>
    <w:rsid w:val="00715127"/>
    <w:rsid w:val="007153DC"/>
    <w:rsid w:val="00715C6A"/>
    <w:rsid w:val="00715E8E"/>
    <w:rsid w:val="00721445"/>
    <w:rsid w:val="00723580"/>
    <w:rsid w:val="00723755"/>
    <w:rsid w:val="0072386D"/>
    <w:rsid w:val="00724124"/>
    <w:rsid w:val="007246F8"/>
    <w:rsid w:val="007260D4"/>
    <w:rsid w:val="00726DFF"/>
    <w:rsid w:val="00727AF8"/>
    <w:rsid w:val="00730609"/>
    <w:rsid w:val="0073136C"/>
    <w:rsid w:val="00731F0F"/>
    <w:rsid w:val="00733250"/>
    <w:rsid w:val="007376E5"/>
    <w:rsid w:val="00741404"/>
    <w:rsid w:val="007418A5"/>
    <w:rsid w:val="00742BC3"/>
    <w:rsid w:val="00743063"/>
    <w:rsid w:val="007449E5"/>
    <w:rsid w:val="00745A92"/>
    <w:rsid w:val="0074662D"/>
    <w:rsid w:val="00746C5A"/>
    <w:rsid w:val="00747C79"/>
    <w:rsid w:val="00747FF0"/>
    <w:rsid w:val="007507C9"/>
    <w:rsid w:val="0075381C"/>
    <w:rsid w:val="0075494C"/>
    <w:rsid w:val="007573C0"/>
    <w:rsid w:val="00760C9D"/>
    <w:rsid w:val="007622BF"/>
    <w:rsid w:val="00762AE5"/>
    <w:rsid w:val="007631CB"/>
    <w:rsid w:val="00763DF9"/>
    <w:rsid w:val="00764D4E"/>
    <w:rsid w:val="00765A1F"/>
    <w:rsid w:val="007717FA"/>
    <w:rsid w:val="007750D1"/>
    <w:rsid w:val="00775B6D"/>
    <w:rsid w:val="00776D68"/>
    <w:rsid w:val="00781A95"/>
    <w:rsid w:val="00781ED3"/>
    <w:rsid w:val="00782A58"/>
    <w:rsid w:val="007850EE"/>
    <w:rsid w:val="00785A99"/>
    <w:rsid w:val="00785B95"/>
    <w:rsid w:val="00790E96"/>
    <w:rsid w:val="00791255"/>
    <w:rsid w:val="00791419"/>
    <w:rsid w:val="007921FD"/>
    <w:rsid w:val="00793366"/>
    <w:rsid w:val="00795CF9"/>
    <w:rsid w:val="00795F6F"/>
    <w:rsid w:val="007A372F"/>
    <w:rsid w:val="007A61AD"/>
    <w:rsid w:val="007A716F"/>
    <w:rsid w:val="007B1A80"/>
    <w:rsid w:val="007B270A"/>
    <w:rsid w:val="007B5EA9"/>
    <w:rsid w:val="007B6493"/>
    <w:rsid w:val="007B6747"/>
    <w:rsid w:val="007B692B"/>
    <w:rsid w:val="007C01FB"/>
    <w:rsid w:val="007C0695"/>
    <w:rsid w:val="007C0A68"/>
    <w:rsid w:val="007C21D9"/>
    <w:rsid w:val="007C28E4"/>
    <w:rsid w:val="007C419A"/>
    <w:rsid w:val="007C4C0A"/>
    <w:rsid w:val="007C4CC8"/>
    <w:rsid w:val="007C5426"/>
    <w:rsid w:val="007C5798"/>
    <w:rsid w:val="007C7E10"/>
    <w:rsid w:val="007D1E6B"/>
    <w:rsid w:val="007D3223"/>
    <w:rsid w:val="007D4656"/>
    <w:rsid w:val="007D4832"/>
    <w:rsid w:val="007E0571"/>
    <w:rsid w:val="007E0ABE"/>
    <w:rsid w:val="007E0F2B"/>
    <w:rsid w:val="007E1D44"/>
    <w:rsid w:val="007E21B2"/>
    <w:rsid w:val="007E2C4E"/>
    <w:rsid w:val="007E3994"/>
    <w:rsid w:val="007E5BE8"/>
    <w:rsid w:val="007E7A50"/>
    <w:rsid w:val="007F0D00"/>
    <w:rsid w:val="007F1905"/>
    <w:rsid w:val="007F3F48"/>
    <w:rsid w:val="007F69A8"/>
    <w:rsid w:val="007F7F0A"/>
    <w:rsid w:val="00800130"/>
    <w:rsid w:val="00801300"/>
    <w:rsid w:val="008020F2"/>
    <w:rsid w:val="00802473"/>
    <w:rsid w:val="00802C64"/>
    <w:rsid w:val="008037EA"/>
    <w:rsid w:val="00804F5C"/>
    <w:rsid w:val="00805E52"/>
    <w:rsid w:val="008061D0"/>
    <w:rsid w:val="008105E0"/>
    <w:rsid w:val="00810B38"/>
    <w:rsid w:val="00812CCC"/>
    <w:rsid w:val="00813FE4"/>
    <w:rsid w:val="008147C2"/>
    <w:rsid w:val="00815151"/>
    <w:rsid w:val="008173C0"/>
    <w:rsid w:val="008204C7"/>
    <w:rsid w:val="00820992"/>
    <w:rsid w:val="008229E6"/>
    <w:rsid w:val="00823602"/>
    <w:rsid w:val="00823825"/>
    <w:rsid w:val="00824BD8"/>
    <w:rsid w:val="008255F5"/>
    <w:rsid w:val="0083014E"/>
    <w:rsid w:val="008301FE"/>
    <w:rsid w:val="00831AED"/>
    <w:rsid w:val="0083214A"/>
    <w:rsid w:val="00834220"/>
    <w:rsid w:val="008400FB"/>
    <w:rsid w:val="008405CF"/>
    <w:rsid w:val="0084535B"/>
    <w:rsid w:val="00845723"/>
    <w:rsid w:val="00846288"/>
    <w:rsid w:val="00851E19"/>
    <w:rsid w:val="00851EF9"/>
    <w:rsid w:val="00852D4E"/>
    <w:rsid w:val="00854FA1"/>
    <w:rsid w:val="008577FD"/>
    <w:rsid w:val="00860B03"/>
    <w:rsid w:val="0086497A"/>
    <w:rsid w:val="00865438"/>
    <w:rsid w:val="008713A1"/>
    <w:rsid w:val="008724CB"/>
    <w:rsid w:val="00874255"/>
    <w:rsid w:val="0087462F"/>
    <w:rsid w:val="008754AB"/>
    <w:rsid w:val="00876019"/>
    <w:rsid w:val="00876A49"/>
    <w:rsid w:val="0088060C"/>
    <w:rsid w:val="00880AB5"/>
    <w:rsid w:val="00880D13"/>
    <w:rsid w:val="00882340"/>
    <w:rsid w:val="008825E7"/>
    <w:rsid w:val="00882779"/>
    <w:rsid w:val="00882B3D"/>
    <w:rsid w:val="00883A50"/>
    <w:rsid w:val="008875C6"/>
    <w:rsid w:val="00887640"/>
    <w:rsid w:val="00887D6A"/>
    <w:rsid w:val="00892948"/>
    <w:rsid w:val="00893576"/>
    <w:rsid w:val="00893E73"/>
    <w:rsid w:val="008A0A8F"/>
    <w:rsid w:val="008A3210"/>
    <w:rsid w:val="008A4148"/>
    <w:rsid w:val="008A43C4"/>
    <w:rsid w:val="008A57E3"/>
    <w:rsid w:val="008A5F31"/>
    <w:rsid w:val="008B02DC"/>
    <w:rsid w:val="008B57CE"/>
    <w:rsid w:val="008B632E"/>
    <w:rsid w:val="008B659F"/>
    <w:rsid w:val="008B6F86"/>
    <w:rsid w:val="008C20AF"/>
    <w:rsid w:val="008C26DE"/>
    <w:rsid w:val="008C2974"/>
    <w:rsid w:val="008C3364"/>
    <w:rsid w:val="008C415C"/>
    <w:rsid w:val="008C45FC"/>
    <w:rsid w:val="008C5BF2"/>
    <w:rsid w:val="008C5D3D"/>
    <w:rsid w:val="008D06E1"/>
    <w:rsid w:val="008D0E6C"/>
    <w:rsid w:val="008D2225"/>
    <w:rsid w:val="008D260B"/>
    <w:rsid w:val="008D4752"/>
    <w:rsid w:val="008D552A"/>
    <w:rsid w:val="008E0772"/>
    <w:rsid w:val="008E271C"/>
    <w:rsid w:val="008E28A2"/>
    <w:rsid w:val="008E2C28"/>
    <w:rsid w:val="008E3191"/>
    <w:rsid w:val="008E418E"/>
    <w:rsid w:val="008E5BC6"/>
    <w:rsid w:val="008E6A25"/>
    <w:rsid w:val="008F5193"/>
    <w:rsid w:val="008F525C"/>
    <w:rsid w:val="009013A7"/>
    <w:rsid w:val="0090163D"/>
    <w:rsid w:val="009017FB"/>
    <w:rsid w:val="009017FC"/>
    <w:rsid w:val="00903B43"/>
    <w:rsid w:val="0090506B"/>
    <w:rsid w:val="009050C9"/>
    <w:rsid w:val="00905234"/>
    <w:rsid w:val="00906350"/>
    <w:rsid w:val="009066FC"/>
    <w:rsid w:val="00907092"/>
    <w:rsid w:val="009128E3"/>
    <w:rsid w:val="00912C62"/>
    <w:rsid w:val="009140A3"/>
    <w:rsid w:val="009144A2"/>
    <w:rsid w:val="0091510C"/>
    <w:rsid w:val="00921AEB"/>
    <w:rsid w:val="009259AC"/>
    <w:rsid w:val="00926F38"/>
    <w:rsid w:val="00930CF8"/>
    <w:rsid w:val="00934301"/>
    <w:rsid w:val="00936CD1"/>
    <w:rsid w:val="00941747"/>
    <w:rsid w:val="00941EFB"/>
    <w:rsid w:val="00942B8C"/>
    <w:rsid w:val="0094491A"/>
    <w:rsid w:val="009473C4"/>
    <w:rsid w:val="00947AFB"/>
    <w:rsid w:val="00951D7D"/>
    <w:rsid w:val="0095270C"/>
    <w:rsid w:val="00952C12"/>
    <w:rsid w:val="009562A6"/>
    <w:rsid w:val="00957505"/>
    <w:rsid w:val="009630C7"/>
    <w:rsid w:val="00963509"/>
    <w:rsid w:val="009639A2"/>
    <w:rsid w:val="009705BF"/>
    <w:rsid w:val="00972B55"/>
    <w:rsid w:val="009743B7"/>
    <w:rsid w:val="00974468"/>
    <w:rsid w:val="009753CA"/>
    <w:rsid w:val="0097545A"/>
    <w:rsid w:val="0097626F"/>
    <w:rsid w:val="00976ABD"/>
    <w:rsid w:val="0098228B"/>
    <w:rsid w:val="009828DA"/>
    <w:rsid w:val="009858F0"/>
    <w:rsid w:val="00985BAB"/>
    <w:rsid w:val="00985EF7"/>
    <w:rsid w:val="00986982"/>
    <w:rsid w:val="00986A94"/>
    <w:rsid w:val="009871F9"/>
    <w:rsid w:val="00987C96"/>
    <w:rsid w:val="00991E04"/>
    <w:rsid w:val="0099269E"/>
    <w:rsid w:val="00992DC8"/>
    <w:rsid w:val="0099395C"/>
    <w:rsid w:val="00994270"/>
    <w:rsid w:val="00994729"/>
    <w:rsid w:val="0099523E"/>
    <w:rsid w:val="009954C5"/>
    <w:rsid w:val="00997BBB"/>
    <w:rsid w:val="00997F03"/>
    <w:rsid w:val="009A0A70"/>
    <w:rsid w:val="009A0EC4"/>
    <w:rsid w:val="009A1137"/>
    <w:rsid w:val="009A2A52"/>
    <w:rsid w:val="009A46DF"/>
    <w:rsid w:val="009A646C"/>
    <w:rsid w:val="009A7CB9"/>
    <w:rsid w:val="009A7D11"/>
    <w:rsid w:val="009B11E4"/>
    <w:rsid w:val="009B1B5F"/>
    <w:rsid w:val="009B2EC2"/>
    <w:rsid w:val="009B41CF"/>
    <w:rsid w:val="009B53C5"/>
    <w:rsid w:val="009B6673"/>
    <w:rsid w:val="009B6A3F"/>
    <w:rsid w:val="009B7BC6"/>
    <w:rsid w:val="009B7EEA"/>
    <w:rsid w:val="009C035E"/>
    <w:rsid w:val="009C191B"/>
    <w:rsid w:val="009C2BD6"/>
    <w:rsid w:val="009C35BE"/>
    <w:rsid w:val="009D0446"/>
    <w:rsid w:val="009D211F"/>
    <w:rsid w:val="009D67B7"/>
    <w:rsid w:val="009E15E6"/>
    <w:rsid w:val="009E1F32"/>
    <w:rsid w:val="009E5829"/>
    <w:rsid w:val="009E6364"/>
    <w:rsid w:val="009E65A8"/>
    <w:rsid w:val="009E66F5"/>
    <w:rsid w:val="009E776C"/>
    <w:rsid w:val="009E79B5"/>
    <w:rsid w:val="009F0AAF"/>
    <w:rsid w:val="009F0FCA"/>
    <w:rsid w:val="009F29CD"/>
    <w:rsid w:val="009F419B"/>
    <w:rsid w:val="009F78BD"/>
    <w:rsid w:val="00A02231"/>
    <w:rsid w:val="00A023D7"/>
    <w:rsid w:val="00A029A9"/>
    <w:rsid w:val="00A05963"/>
    <w:rsid w:val="00A064A8"/>
    <w:rsid w:val="00A07F7A"/>
    <w:rsid w:val="00A1146C"/>
    <w:rsid w:val="00A12332"/>
    <w:rsid w:val="00A142C3"/>
    <w:rsid w:val="00A159DA"/>
    <w:rsid w:val="00A15B91"/>
    <w:rsid w:val="00A1726E"/>
    <w:rsid w:val="00A204CF"/>
    <w:rsid w:val="00A219D2"/>
    <w:rsid w:val="00A23D49"/>
    <w:rsid w:val="00A27004"/>
    <w:rsid w:val="00A30C29"/>
    <w:rsid w:val="00A31FF0"/>
    <w:rsid w:val="00A327B6"/>
    <w:rsid w:val="00A32A37"/>
    <w:rsid w:val="00A32AEC"/>
    <w:rsid w:val="00A34DD6"/>
    <w:rsid w:val="00A35FD2"/>
    <w:rsid w:val="00A36819"/>
    <w:rsid w:val="00A36989"/>
    <w:rsid w:val="00A37144"/>
    <w:rsid w:val="00A43270"/>
    <w:rsid w:val="00A43628"/>
    <w:rsid w:val="00A44172"/>
    <w:rsid w:val="00A45145"/>
    <w:rsid w:val="00A46FFD"/>
    <w:rsid w:val="00A47251"/>
    <w:rsid w:val="00A50158"/>
    <w:rsid w:val="00A50C32"/>
    <w:rsid w:val="00A51379"/>
    <w:rsid w:val="00A52F85"/>
    <w:rsid w:val="00A52FC6"/>
    <w:rsid w:val="00A54180"/>
    <w:rsid w:val="00A54192"/>
    <w:rsid w:val="00A6035E"/>
    <w:rsid w:val="00A6144C"/>
    <w:rsid w:val="00A62942"/>
    <w:rsid w:val="00A65A51"/>
    <w:rsid w:val="00A66617"/>
    <w:rsid w:val="00A671F8"/>
    <w:rsid w:val="00A673A4"/>
    <w:rsid w:val="00A677C7"/>
    <w:rsid w:val="00A7067F"/>
    <w:rsid w:val="00A70A6A"/>
    <w:rsid w:val="00A724AE"/>
    <w:rsid w:val="00A73329"/>
    <w:rsid w:val="00A749E0"/>
    <w:rsid w:val="00A75B09"/>
    <w:rsid w:val="00A7660D"/>
    <w:rsid w:val="00A766E0"/>
    <w:rsid w:val="00A769DA"/>
    <w:rsid w:val="00A76E4E"/>
    <w:rsid w:val="00A82359"/>
    <w:rsid w:val="00A82DB5"/>
    <w:rsid w:val="00A83623"/>
    <w:rsid w:val="00A85D58"/>
    <w:rsid w:val="00A865D2"/>
    <w:rsid w:val="00A93797"/>
    <w:rsid w:val="00A9422D"/>
    <w:rsid w:val="00A94A6A"/>
    <w:rsid w:val="00A94C20"/>
    <w:rsid w:val="00A94D41"/>
    <w:rsid w:val="00A96ED6"/>
    <w:rsid w:val="00A96F04"/>
    <w:rsid w:val="00AA0642"/>
    <w:rsid w:val="00AA227F"/>
    <w:rsid w:val="00AA277F"/>
    <w:rsid w:val="00AA2E7C"/>
    <w:rsid w:val="00AA3BC7"/>
    <w:rsid w:val="00AA3F80"/>
    <w:rsid w:val="00AA410D"/>
    <w:rsid w:val="00AA430F"/>
    <w:rsid w:val="00AA754A"/>
    <w:rsid w:val="00AB099E"/>
    <w:rsid w:val="00AB159E"/>
    <w:rsid w:val="00AB4328"/>
    <w:rsid w:val="00AB4B9A"/>
    <w:rsid w:val="00AB525D"/>
    <w:rsid w:val="00AB5966"/>
    <w:rsid w:val="00AB5FA0"/>
    <w:rsid w:val="00AC114F"/>
    <w:rsid w:val="00AC5B8F"/>
    <w:rsid w:val="00AD02F0"/>
    <w:rsid w:val="00AD1C40"/>
    <w:rsid w:val="00AD616D"/>
    <w:rsid w:val="00AE0A2E"/>
    <w:rsid w:val="00AE0F64"/>
    <w:rsid w:val="00AE0FF9"/>
    <w:rsid w:val="00AE3114"/>
    <w:rsid w:val="00AE354C"/>
    <w:rsid w:val="00AE3BB2"/>
    <w:rsid w:val="00AE44A7"/>
    <w:rsid w:val="00AE5662"/>
    <w:rsid w:val="00AF4B07"/>
    <w:rsid w:val="00AF58A7"/>
    <w:rsid w:val="00AF6186"/>
    <w:rsid w:val="00AF63A7"/>
    <w:rsid w:val="00AF7A3A"/>
    <w:rsid w:val="00B0030A"/>
    <w:rsid w:val="00B011AD"/>
    <w:rsid w:val="00B062A9"/>
    <w:rsid w:val="00B1130E"/>
    <w:rsid w:val="00B147B8"/>
    <w:rsid w:val="00B15057"/>
    <w:rsid w:val="00B160DB"/>
    <w:rsid w:val="00B17B8B"/>
    <w:rsid w:val="00B20422"/>
    <w:rsid w:val="00B20836"/>
    <w:rsid w:val="00B22049"/>
    <w:rsid w:val="00B235BB"/>
    <w:rsid w:val="00B23A10"/>
    <w:rsid w:val="00B23FA2"/>
    <w:rsid w:val="00B27A44"/>
    <w:rsid w:val="00B30BBF"/>
    <w:rsid w:val="00B3126E"/>
    <w:rsid w:val="00B31B85"/>
    <w:rsid w:val="00B33213"/>
    <w:rsid w:val="00B33C03"/>
    <w:rsid w:val="00B35637"/>
    <w:rsid w:val="00B36962"/>
    <w:rsid w:val="00B36A77"/>
    <w:rsid w:val="00B37520"/>
    <w:rsid w:val="00B438BD"/>
    <w:rsid w:val="00B44E56"/>
    <w:rsid w:val="00B457B0"/>
    <w:rsid w:val="00B46543"/>
    <w:rsid w:val="00B47D33"/>
    <w:rsid w:val="00B51385"/>
    <w:rsid w:val="00B51692"/>
    <w:rsid w:val="00B52BE0"/>
    <w:rsid w:val="00B54133"/>
    <w:rsid w:val="00B550BE"/>
    <w:rsid w:val="00B5536C"/>
    <w:rsid w:val="00B55485"/>
    <w:rsid w:val="00B57A27"/>
    <w:rsid w:val="00B57E69"/>
    <w:rsid w:val="00B614D4"/>
    <w:rsid w:val="00B61530"/>
    <w:rsid w:val="00B63157"/>
    <w:rsid w:val="00B631CB"/>
    <w:rsid w:val="00B637B9"/>
    <w:rsid w:val="00B63C02"/>
    <w:rsid w:val="00B6799D"/>
    <w:rsid w:val="00B701ED"/>
    <w:rsid w:val="00B71280"/>
    <w:rsid w:val="00B72B51"/>
    <w:rsid w:val="00B73382"/>
    <w:rsid w:val="00B752A4"/>
    <w:rsid w:val="00B76588"/>
    <w:rsid w:val="00B76A5F"/>
    <w:rsid w:val="00B8086C"/>
    <w:rsid w:val="00B847E0"/>
    <w:rsid w:val="00B84B4C"/>
    <w:rsid w:val="00B85AD4"/>
    <w:rsid w:val="00B861B4"/>
    <w:rsid w:val="00B86DFE"/>
    <w:rsid w:val="00B90990"/>
    <w:rsid w:val="00B90EE0"/>
    <w:rsid w:val="00B918AF"/>
    <w:rsid w:val="00B922FF"/>
    <w:rsid w:val="00B92525"/>
    <w:rsid w:val="00B9281E"/>
    <w:rsid w:val="00B930C1"/>
    <w:rsid w:val="00B93925"/>
    <w:rsid w:val="00B95187"/>
    <w:rsid w:val="00BA1993"/>
    <w:rsid w:val="00BA2D55"/>
    <w:rsid w:val="00BA58CA"/>
    <w:rsid w:val="00BA71B1"/>
    <w:rsid w:val="00BB0637"/>
    <w:rsid w:val="00BB07B1"/>
    <w:rsid w:val="00BB2006"/>
    <w:rsid w:val="00BB2A97"/>
    <w:rsid w:val="00BB30BF"/>
    <w:rsid w:val="00BB345F"/>
    <w:rsid w:val="00BB3A3C"/>
    <w:rsid w:val="00BB4454"/>
    <w:rsid w:val="00BB5883"/>
    <w:rsid w:val="00BB641C"/>
    <w:rsid w:val="00BB68EA"/>
    <w:rsid w:val="00BB74D7"/>
    <w:rsid w:val="00BC1ADB"/>
    <w:rsid w:val="00BC1C27"/>
    <w:rsid w:val="00BC61BE"/>
    <w:rsid w:val="00BC6BBF"/>
    <w:rsid w:val="00BC7597"/>
    <w:rsid w:val="00BD0FF2"/>
    <w:rsid w:val="00BD1022"/>
    <w:rsid w:val="00BD11B6"/>
    <w:rsid w:val="00BD1572"/>
    <w:rsid w:val="00BD3E2A"/>
    <w:rsid w:val="00BD6900"/>
    <w:rsid w:val="00BE14E3"/>
    <w:rsid w:val="00BE16E6"/>
    <w:rsid w:val="00BE35F6"/>
    <w:rsid w:val="00BE3774"/>
    <w:rsid w:val="00BE403F"/>
    <w:rsid w:val="00BE41E5"/>
    <w:rsid w:val="00BE7277"/>
    <w:rsid w:val="00BF0BBB"/>
    <w:rsid w:val="00BF21E5"/>
    <w:rsid w:val="00BF4109"/>
    <w:rsid w:val="00BF46BB"/>
    <w:rsid w:val="00BF4CC3"/>
    <w:rsid w:val="00BF6875"/>
    <w:rsid w:val="00BF70BB"/>
    <w:rsid w:val="00C01E0C"/>
    <w:rsid w:val="00C02FE6"/>
    <w:rsid w:val="00C054C7"/>
    <w:rsid w:val="00C057B5"/>
    <w:rsid w:val="00C14910"/>
    <w:rsid w:val="00C22687"/>
    <w:rsid w:val="00C22B31"/>
    <w:rsid w:val="00C25C5F"/>
    <w:rsid w:val="00C31166"/>
    <w:rsid w:val="00C31C84"/>
    <w:rsid w:val="00C32E4D"/>
    <w:rsid w:val="00C333A0"/>
    <w:rsid w:val="00C349C4"/>
    <w:rsid w:val="00C36A81"/>
    <w:rsid w:val="00C40408"/>
    <w:rsid w:val="00C40986"/>
    <w:rsid w:val="00C41974"/>
    <w:rsid w:val="00C43F81"/>
    <w:rsid w:val="00C447AD"/>
    <w:rsid w:val="00C451E9"/>
    <w:rsid w:val="00C45B96"/>
    <w:rsid w:val="00C51B12"/>
    <w:rsid w:val="00C52AAF"/>
    <w:rsid w:val="00C52F31"/>
    <w:rsid w:val="00C53F4A"/>
    <w:rsid w:val="00C54125"/>
    <w:rsid w:val="00C55B54"/>
    <w:rsid w:val="00C607B8"/>
    <w:rsid w:val="00C6098E"/>
    <w:rsid w:val="00C6152C"/>
    <w:rsid w:val="00C61737"/>
    <w:rsid w:val="00C620F2"/>
    <w:rsid w:val="00C621C2"/>
    <w:rsid w:val="00C63B37"/>
    <w:rsid w:val="00C677A7"/>
    <w:rsid w:val="00C7150A"/>
    <w:rsid w:val="00C72205"/>
    <w:rsid w:val="00C724F4"/>
    <w:rsid w:val="00C74810"/>
    <w:rsid w:val="00C75873"/>
    <w:rsid w:val="00C75EA3"/>
    <w:rsid w:val="00C77704"/>
    <w:rsid w:val="00C85BE7"/>
    <w:rsid w:val="00C873CA"/>
    <w:rsid w:val="00C90D68"/>
    <w:rsid w:val="00C9216B"/>
    <w:rsid w:val="00C924C8"/>
    <w:rsid w:val="00C939FE"/>
    <w:rsid w:val="00C97E16"/>
    <w:rsid w:val="00CA460E"/>
    <w:rsid w:val="00CA4BDA"/>
    <w:rsid w:val="00CA658D"/>
    <w:rsid w:val="00CA7EAA"/>
    <w:rsid w:val="00CB0594"/>
    <w:rsid w:val="00CB11DC"/>
    <w:rsid w:val="00CB1BBD"/>
    <w:rsid w:val="00CB1F66"/>
    <w:rsid w:val="00CB2951"/>
    <w:rsid w:val="00CB2A31"/>
    <w:rsid w:val="00CB6421"/>
    <w:rsid w:val="00CB6863"/>
    <w:rsid w:val="00CC0A15"/>
    <w:rsid w:val="00CC1617"/>
    <w:rsid w:val="00CC390C"/>
    <w:rsid w:val="00CC4160"/>
    <w:rsid w:val="00CC470B"/>
    <w:rsid w:val="00CC4783"/>
    <w:rsid w:val="00CC53BC"/>
    <w:rsid w:val="00CC6EB6"/>
    <w:rsid w:val="00CD0CCD"/>
    <w:rsid w:val="00CD1238"/>
    <w:rsid w:val="00CD282B"/>
    <w:rsid w:val="00CD2C86"/>
    <w:rsid w:val="00CD30D7"/>
    <w:rsid w:val="00CD4C35"/>
    <w:rsid w:val="00CD7369"/>
    <w:rsid w:val="00CE0B0E"/>
    <w:rsid w:val="00CE230E"/>
    <w:rsid w:val="00CE2B96"/>
    <w:rsid w:val="00CE3831"/>
    <w:rsid w:val="00CE699D"/>
    <w:rsid w:val="00CE6B84"/>
    <w:rsid w:val="00CE7C64"/>
    <w:rsid w:val="00CF1268"/>
    <w:rsid w:val="00CF6EE0"/>
    <w:rsid w:val="00D00ABB"/>
    <w:rsid w:val="00D02EEC"/>
    <w:rsid w:val="00D03551"/>
    <w:rsid w:val="00D0495E"/>
    <w:rsid w:val="00D0518D"/>
    <w:rsid w:val="00D06A63"/>
    <w:rsid w:val="00D07AE4"/>
    <w:rsid w:val="00D07E0E"/>
    <w:rsid w:val="00D10264"/>
    <w:rsid w:val="00D10B82"/>
    <w:rsid w:val="00D11478"/>
    <w:rsid w:val="00D13ACA"/>
    <w:rsid w:val="00D15ED0"/>
    <w:rsid w:val="00D169CE"/>
    <w:rsid w:val="00D20722"/>
    <w:rsid w:val="00D21197"/>
    <w:rsid w:val="00D216D4"/>
    <w:rsid w:val="00D21B3E"/>
    <w:rsid w:val="00D21FED"/>
    <w:rsid w:val="00D22557"/>
    <w:rsid w:val="00D22E1D"/>
    <w:rsid w:val="00D24251"/>
    <w:rsid w:val="00D25726"/>
    <w:rsid w:val="00D26D7A"/>
    <w:rsid w:val="00D27142"/>
    <w:rsid w:val="00D32211"/>
    <w:rsid w:val="00D32AB0"/>
    <w:rsid w:val="00D343E2"/>
    <w:rsid w:val="00D361A2"/>
    <w:rsid w:val="00D40E47"/>
    <w:rsid w:val="00D413E9"/>
    <w:rsid w:val="00D42662"/>
    <w:rsid w:val="00D4291C"/>
    <w:rsid w:val="00D42A2C"/>
    <w:rsid w:val="00D42EAB"/>
    <w:rsid w:val="00D43A48"/>
    <w:rsid w:val="00D44B55"/>
    <w:rsid w:val="00D44C2E"/>
    <w:rsid w:val="00D45349"/>
    <w:rsid w:val="00D45414"/>
    <w:rsid w:val="00D50CCC"/>
    <w:rsid w:val="00D51B80"/>
    <w:rsid w:val="00D53B15"/>
    <w:rsid w:val="00D53C0F"/>
    <w:rsid w:val="00D547D1"/>
    <w:rsid w:val="00D549BE"/>
    <w:rsid w:val="00D566BD"/>
    <w:rsid w:val="00D57361"/>
    <w:rsid w:val="00D57A4D"/>
    <w:rsid w:val="00D60AA7"/>
    <w:rsid w:val="00D60D87"/>
    <w:rsid w:val="00D61134"/>
    <w:rsid w:val="00D6435F"/>
    <w:rsid w:val="00D65DDB"/>
    <w:rsid w:val="00D662AF"/>
    <w:rsid w:val="00D67467"/>
    <w:rsid w:val="00D7203D"/>
    <w:rsid w:val="00D73558"/>
    <w:rsid w:val="00D74C3C"/>
    <w:rsid w:val="00D75E28"/>
    <w:rsid w:val="00D772C2"/>
    <w:rsid w:val="00D8008E"/>
    <w:rsid w:val="00D80599"/>
    <w:rsid w:val="00D81237"/>
    <w:rsid w:val="00D81A68"/>
    <w:rsid w:val="00D82C45"/>
    <w:rsid w:val="00D835EA"/>
    <w:rsid w:val="00D84D46"/>
    <w:rsid w:val="00D85E33"/>
    <w:rsid w:val="00D86D9E"/>
    <w:rsid w:val="00D87A68"/>
    <w:rsid w:val="00D87B45"/>
    <w:rsid w:val="00D908A8"/>
    <w:rsid w:val="00D920F4"/>
    <w:rsid w:val="00D94771"/>
    <w:rsid w:val="00D9564B"/>
    <w:rsid w:val="00D977B6"/>
    <w:rsid w:val="00DA1951"/>
    <w:rsid w:val="00DA20F7"/>
    <w:rsid w:val="00DA4A31"/>
    <w:rsid w:val="00DA61F2"/>
    <w:rsid w:val="00DA7B04"/>
    <w:rsid w:val="00DB0A37"/>
    <w:rsid w:val="00DB1BA4"/>
    <w:rsid w:val="00DB36C2"/>
    <w:rsid w:val="00DB7196"/>
    <w:rsid w:val="00DC169B"/>
    <w:rsid w:val="00DC2AB9"/>
    <w:rsid w:val="00DC35E5"/>
    <w:rsid w:val="00DC3920"/>
    <w:rsid w:val="00DC4ED3"/>
    <w:rsid w:val="00DC63F0"/>
    <w:rsid w:val="00DD09F6"/>
    <w:rsid w:val="00DD0F22"/>
    <w:rsid w:val="00DD2861"/>
    <w:rsid w:val="00DD2F7C"/>
    <w:rsid w:val="00DD68CF"/>
    <w:rsid w:val="00DD6EE5"/>
    <w:rsid w:val="00DE003B"/>
    <w:rsid w:val="00DE1B8E"/>
    <w:rsid w:val="00DE1D70"/>
    <w:rsid w:val="00DE2820"/>
    <w:rsid w:val="00DE31CE"/>
    <w:rsid w:val="00DE386C"/>
    <w:rsid w:val="00DE3B0D"/>
    <w:rsid w:val="00DE4D35"/>
    <w:rsid w:val="00DE4EA1"/>
    <w:rsid w:val="00DE64BD"/>
    <w:rsid w:val="00DE7CA0"/>
    <w:rsid w:val="00DF0314"/>
    <w:rsid w:val="00DF0549"/>
    <w:rsid w:val="00DF098B"/>
    <w:rsid w:val="00DF0E79"/>
    <w:rsid w:val="00DF11C4"/>
    <w:rsid w:val="00DF1313"/>
    <w:rsid w:val="00DF210C"/>
    <w:rsid w:val="00DF2E13"/>
    <w:rsid w:val="00DF4B6A"/>
    <w:rsid w:val="00DF61B7"/>
    <w:rsid w:val="00E000E3"/>
    <w:rsid w:val="00E005AE"/>
    <w:rsid w:val="00E0262F"/>
    <w:rsid w:val="00E02C09"/>
    <w:rsid w:val="00E04D59"/>
    <w:rsid w:val="00E07DA1"/>
    <w:rsid w:val="00E07DDE"/>
    <w:rsid w:val="00E123CB"/>
    <w:rsid w:val="00E12902"/>
    <w:rsid w:val="00E1557C"/>
    <w:rsid w:val="00E1630B"/>
    <w:rsid w:val="00E174FF"/>
    <w:rsid w:val="00E20E13"/>
    <w:rsid w:val="00E21DBC"/>
    <w:rsid w:val="00E22AE5"/>
    <w:rsid w:val="00E235C5"/>
    <w:rsid w:val="00E25D1A"/>
    <w:rsid w:val="00E2612E"/>
    <w:rsid w:val="00E275D7"/>
    <w:rsid w:val="00E27DBE"/>
    <w:rsid w:val="00E32AB1"/>
    <w:rsid w:val="00E3302F"/>
    <w:rsid w:val="00E3381E"/>
    <w:rsid w:val="00E338EC"/>
    <w:rsid w:val="00E35F24"/>
    <w:rsid w:val="00E36C71"/>
    <w:rsid w:val="00E379C9"/>
    <w:rsid w:val="00E40404"/>
    <w:rsid w:val="00E412FC"/>
    <w:rsid w:val="00E41912"/>
    <w:rsid w:val="00E43C58"/>
    <w:rsid w:val="00E442FE"/>
    <w:rsid w:val="00E44757"/>
    <w:rsid w:val="00E459C6"/>
    <w:rsid w:val="00E46CBE"/>
    <w:rsid w:val="00E47589"/>
    <w:rsid w:val="00E47D3B"/>
    <w:rsid w:val="00E500A3"/>
    <w:rsid w:val="00E5241D"/>
    <w:rsid w:val="00E53627"/>
    <w:rsid w:val="00E543F0"/>
    <w:rsid w:val="00E54EF0"/>
    <w:rsid w:val="00E628CC"/>
    <w:rsid w:val="00E64226"/>
    <w:rsid w:val="00E64915"/>
    <w:rsid w:val="00E661D4"/>
    <w:rsid w:val="00E70091"/>
    <w:rsid w:val="00E70690"/>
    <w:rsid w:val="00E720F5"/>
    <w:rsid w:val="00E72C35"/>
    <w:rsid w:val="00E73E3A"/>
    <w:rsid w:val="00E76D47"/>
    <w:rsid w:val="00E76D83"/>
    <w:rsid w:val="00E7724E"/>
    <w:rsid w:val="00E802FB"/>
    <w:rsid w:val="00E841E7"/>
    <w:rsid w:val="00E849F7"/>
    <w:rsid w:val="00E866AB"/>
    <w:rsid w:val="00E87D67"/>
    <w:rsid w:val="00E90302"/>
    <w:rsid w:val="00E9071F"/>
    <w:rsid w:val="00E907CE"/>
    <w:rsid w:val="00E95048"/>
    <w:rsid w:val="00E9597F"/>
    <w:rsid w:val="00E96B57"/>
    <w:rsid w:val="00E97396"/>
    <w:rsid w:val="00E9748E"/>
    <w:rsid w:val="00EA1852"/>
    <w:rsid w:val="00EA185E"/>
    <w:rsid w:val="00EA2F67"/>
    <w:rsid w:val="00EA3033"/>
    <w:rsid w:val="00EA303C"/>
    <w:rsid w:val="00EA3D2E"/>
    <w:rsid w:val="00EA3FD6"/>
    <w:rsid w:val="00EA533B"/>
    <w:rsid w:val="00EA57BD"/>
    <w:rsid w:val="00EA592A"/>
    <w:rsid w:val="00EB14E4"/>
    <w:rsid w:val="00EB1832"/>
    <w:rsid w:val="00EB2104"/>
    <w:rsid w:val="00EB26DC"/>
    <w:rsid w:val="00EB32A5"/>
    <w:rsid w:val="00EB34ED"/>
    <w:rsid w:val="00EB6524"/>
    <w:rsid w:val="00EB7BE0"/>
    <w:rsid w:val="00EC315E"/>
    <w:rsid w:val="00EC621E"/>
    <w:rsid w:val="00ED077C"/>
    <w:rsid w:val="00ED1190"/>
    <w:rsid w:val="00ED6544"/>
    <w:rsid w:val="00ED6CD0"/>
    <w:rsid w:val="00ED6DAD"/>
    <w:rsid w:val="00EE0277"/>
    <w:rsid w:val="00EE1345"/>
    <w:rsid w:val="00EE1DA9"/>
    <w:rsid w:val="00EE2EB6"/>
    <w:rsid w:val="00EE3E00"/>
    <w:rsid w:val="00EE52C6"/>
    <w:rsid w:val="00EE5DD2"/>
    <w:rsid w:val="00EE7026"/>
    <w:rsid w:val="00EE70A9"/>
    <w:rsid w:val="00EE7572"/>
    <w:rsid w:val="00EE7629"/>
    <w:rsid w:val="00EF1DD9"/>
    <w:rsid w:val="00EF41F1"/>
    <w:rsid w:val="00EF4313"/>
    <w:rsid w:val="00EF4F08"/>
    <w:rsid w:val="00EF52D2"/>
    <w:rsid w:val="00EF756A"/>
    <w:rsid w:val="00F00A79"/>
    <w:rsid w:val="00F00E86"/>
    <w:rsid w:val="00F00F8B"/>
    <w:rsid w:val="00F02FD1"/>
    <w:rsid w:val="00F04DFE"/>
    <w:rsid w:val="00F07C1E"/>
    <w:rsid w:val="00F105DB"/>
    <w:rsid w:val="00F122C8"/>
    <w:rsid w:val="00F132BC"/>
    <w:rsid w:val="00F13829"/>
    <w:rsid w:val="00F13D80"/>
    <w:rsid w:val="00F16AAA"/>
    <w:rsid w:val="00F16B51"/>
    <w:rsid w:val="00F21161"/>
    <w:rsid w:val="00F218EF"/>
    <w:rsid w:val="00F21BC7"/>
    <w:rsid w:val="00F237CE"/>
    <w:rsid w:val="00F23BF0"/>
    <w:rsid w:val="00F259F7"/>
    <w:rsid w:val="00F266A2"/>
    <w:rsid w:val="00F30140"/>
    <w:rsid w:val="00F31A53"/>
    <w:rsid w:val="00F32269"/>
    <w:rsid w:val="00F32FFA"/>
    <w:rsid w:val="00F3456D"/>
    <w:rsid w:val="00F44477"/>
    <w:rsid w:val="00F44529"/>
    <w:rsid w:val="00F4457E"/>
    <w:rsid w:val="00F44D60"/>
    <w:rsid w:val="00F513F7"/>
    <w:rsid w:val="00F51828"/>
    <w:rsid w:val="00F52B84"/>
    <w:rsid w:val="00F52BBB"/>
    <w:rsid w:val="00F535CA"/>
    <w:rsid w:val="00F56A6F"/>
    <w:rsid w:val="00F5709C"/>
    <w:rsid w:val="00F5792D"/>
    <w:rsid w:val="00F647C9"/>
    <w:rsid w:val="00F6486A"/>
    <w:rsid w:val="00F64EF1"/>
    <w:rsid w:val="00F67EDA"/>
    <w:rsid w:val="00F705EF"/>
    <w:rsid w:val="00F71A94"/>
    <w:rsid w:val="00F766B8"/>
    <w:rsid w:val="00F76F9D"/>
    <w:rsid w:val="00F77329"/>
    <w:rsid w:val="00F80699"/>
    <w:rsid w:val="00F83D9B"/>
    <w:rsid w:val="00F86005"/>
    <w:rsid w:val="00F8645D"/>
    <w:rsid w:val="00F8765F"/>
    <w:rsid w:val="00F90767"/>
    <w:rsid w:val="00F9110F"/>
    <w:rsid w:val="00F9161A"/>
    <w:rsid w:val="00F92628"/>
    <w:rsid w:val="00F945E7"/>
    <w:rsid w:val="00F9519D"/>
    <w:rsid w:val="00F97CEB"/>
    <w:rsid w:val="00FA23F6"/>
    <w:rsid w:val="00FA27ED"/>
    <w:rsid w:val="00FA5F04"/>
    <w:rsid w:val="00FA685B"/>
    <w:rsid w:val="00FA7741"/>
    <w:rsid w:val="00FA7FCA"/>
    <w:rsid w:val="00FB0C01"/>
    <w:rsid w:val="00FB23FA"/>
    <w:rsid w:val="00FB4B2F"/>
    <w:rsid w:val="00FB50F3"/>
    <w:rsid w:val="00FB739E"/>
    <w:rsid w:val="00FC01E2"/>
    <w:rsid w:val="00FC0284"/>
    <w:rsid w:val="00FC18F2"/>
    <w:rsid w:val="00FC256C"/>
    <w:rsid w:val="00FC3768"/>
    <w:rsid w:val="00FC39E5"/>
    <w:rsid w:val="00FC3A78"/>
    <w:rsid w:val="00FC50BA"/>
    <w:rsid w:val="00FC5FFE"/>
    <w:rsid w:val="00FC66F7"/>
    <w:rsid w:val="00FC74CE"/>
    <w:rsid w:val="00FC7B00"/>
    <w:rsid w:val="00FD1005"/>
    <w:rsid w:val="00FD3180"/>
    <w:rsid w:val="00FD42E4"/>
    <w:rsid w:val="00FD6C75"/>
    <w:rsid w:val="00FD7486"/>
    <w:rsid w:val="00FD7C15"/>
    <w:rsid w:val="00FE0577"/>
    <w:rsid w:val="00FE34D5"/>
    <w:rsid w:val="00FE4D97"/>
    <w:rsid w:val="00FE5129"/>
    <w:rsid w:val="00FE71B3"/>
    <w:rsid w:val="00FF0FF7"/>
    <w:rsid w:val="00FF21B4"/>
    <w:rsid w:val="00FF2306"/>
    <w:rsid w:val="00FF3BB8"/>
    <w:rsid w:val="00FF3E36"/>
    <w:rsid w:val="00FF40CF"/>
    <w:rsid w:val="00FF42C5"/>
    <w:rsid w:val="00FF526C"/>
    <w:rsid w:val="00FF53E2"/>
    <w:rsid w:val="00FF5459"/>
    <w:rsid w:val="00FF77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25888"/>
    <w:pPr>
      <w:jc w:val="both"/>
    </w:pPr>
    <w:rPr>
      <w:rFonts w:eastAsia="MS Mincho"/>
      <w:sz w:val="24"/>
      <w:lang w:eastAsia="en-US"/>
    </w:rPr>
  </w:style>
  <w:style w:type="paragraph" w:styleId="Heading1">
    <w:name w:val="heading 1"/>
    <w:basedOn w:val="Normal"/>
    <w:next w:val="Normal"/>
    <w:link w:val="Heading1Char"/>
    <w:uiPriority w:val="99"/>
    <w:qFormat/>
    <w:rsid w:val="00125888"/>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9"/>
    <w:qFormat/>
    <w:rsid w:val="00125888"/>
    <w:pPr>
      <w:spacing w:before="200"/>
      <w:outlineLvl w:val="1"/>
    </w:pPr>
    <w:rPr>
      <w:rFonts w:eastAsia="MS Gothic"/>
      <w:b/>
      <w:bCs/>
      <w:color w:val="4D4D4D"/>
      <w:sz w:val="26"/>
      <w:szCs w:val="26"/>
    </w:rPr>
  </w:style>
  <w:style w:type="paragraph" w:styleId="Heading3">
    <w:name w:val="heading 3"/>
    <w:basedOn w:val="Normal"/>
    <w:next w:val="Normal"/>
    <w:link w:val="Heading3Char"/>
    <w:uiPriority w:val="99"/>
    <w:qFormat/>
    <w:rsid w:val="00125888"/>
    <w:pPr>
      <w:spacing w:before="200" w:line="271" w:lineRule="auto"/>
      <w:outlineLvl w:val="2"/>
    </w:pPr>
    <w:rPr>
      <w:rFonts w:eastAsia="MS Gothic"/>
      <w:b/>
      <w:bCs/>
      <w:color w:val="5F5F5F"/>
    </w:rPr>
  </w:style>
  <w:style w:type="paragraph" w:styleId="Heading4">
    <w:name w:val="heading 4"/>
    <w:basedOn w:val="Normal"/>
    <w:next w:val="Normal"/>
    <w:link w:val="Heading4Char"/>
    <w:uiPriority w:val="99"/>
    <w:qFormat/>
    <w:rsid w:val="00125888"/>
    <w:pPr>
      <w:spacing w:before="200"/>
      <w:outlineLvl w:val="3"/>
    </w:pPr>
    <w:rPr>
      <w:rFonts w:eastAsia="MS Gothic"/>
      <w:b/>
      <w:bCs/>
      <w:i/>
      <w:iCs/>
      <w:color w:val="777777"/>
    </w:rPr>
  </w:style>
  <w:style w:type="paragraph" w:styleId="Heading5">
    <w:name w:val="heading 5"/>
    <w:basedOn w:val="Normal"/>
    <w:next w:val="Normal"/>
    <w:link w:val="Heading5Char"/>
    <w:uiPriority w:val="99"/>
    <w:qFormat/>
    <w:rsid w:val="00125888"/>
    <w:pPr>
      <w:spacing w:before="200"/>
      <w:outlineLvl w:val="4"/>
    </w:pPr>
    <w:rPr>
      <w:rFonts w:eastAsia="MS Gothic"/>
      <w:b/>
      <w:bCs/>
      <w:color w:val="808080"/>
      <w:sz w:val="22"/>
    </w:rPr>
  </w:style>
  <w:style w:type="paragraph" w:styleId="Heading6">
    <w:name w:val="heading 6"/>
    <w:basedOn w:val="Normal"/>
    <w:next w:val="Normal"/>
    <w:link w:val="Heading6Char"/>
    <w:uiPriority w:val="99"/>
    <w:qFormat/>
    <w:rsid w:val="00125888"/>
    <w:pPr>
      <w:spacing w:line="271" w:lineRule="auto"/>
      <w:outlineLvl w:val="5"/>
    </w:pPr>
    <w:rPr>
      <w:rFonts w:eastAsia="MS Gothic"/>
      <w:b/>
      <w:bCs/>
      <w:i/>
      <w:iCs/>
      <w:color w:val="7F7F7F"/>
    </w:rPr>
  </w:style>
  <w:style w:type="paragraph" w:styleId="Heading7">
    <w:name w:val="heading 7"/>
    <w:basedOn w:val="Normal"/>
    <w:next w:val="Normal"/>
    <w:link w:val="Heading7Char"/>
    <w:uiPriority w:val="99"/>
    <w:qFormat/>
    <w:rsid w:val="00125888"/>
    <w:pPr>
      <w:outlineLvl w:val="6"/>
    </w:pPr>
    <w:rPr>
      <w:rFonts w:eastAsia="MS Gothic"/>
      <w:i/>
      <w:iCs/>
      <w:sz w:val="22"/>
    </w:rPr>
  </w:style>
  <w:style w:type="paragraph" w:styleId="Heading8">
    <w:name w:val="heading 8"/>
    <w:basedOn w:val="Normal"/>
    <w:next w:val="Normal"/>
    <w:link w:val="Heading8Char"/>
    <w:uiPriority w:val="99"/>
    <w:qFormat/>
    <w:rsid w:val="00125888"/>
    <w:pPr>
      <w:outlineLvl w:val="7"/>
    </w:pPr>
    <w:rPr>
      <w:rFonts w:eastAsia="MS Gothic"/>
      <w:sz w:val="20"/>
      <w:szCs w:val="20"/>
    </w:rPr>
  </w:style>
  <w:style w:type="paragraph" w:styleId="Heading9">
    <w:name w:val="heading 9"/>
    <w:basedOn w:val="Normal"/>
    <w:next w:val="Normal"/>
    <w:link w:val="Heading9Char"/>
    <w:uiPriority w:val="99"/>
    <w:qFormat/>
    <w:rsid w:val="00125888"/>
    <w:pPr>
      <w:outlineLvl w:val="8"/>
    </w:pPr>
    <w:rPr>
      <w:rFonts w:eastAsia="MS Gothic"/>
      <w:i/>
      <w:iCs/>
      <w:spacing w:val="5"/>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125888"/>
    <w:rPr>
      <w:rFonts w:ascii="Times New Roman" w:eastAsia="MS Gothic" w:hAnsi="Times New Roman" w:cs="Times New Roman"/>
      <w:b/>
      <w:bCs/>
      <w:color w:val="333333"/>
      <w:sz w:val="28"/>
      <w:szCs w:val="28"/>
    </w:rPr>
  </w:style>
  <w:style w:type="character" w:customStyle="1" w:styleId="Heading2Char">
    <w:name w:val="Heading 2 Char"/>
    <w:basedOn w:val="DefaultParagraphFont"/>
    <w:link w:val="Heading2"/>
    <w:uiPriority w:val="99"/>
    <w:semiHidden/>
    <w:locked/>
    <w:rsid w:val="00125888"/>
    <w:rPr>
      <w:rFonts w:ascii="Times New Roman" w:eastAsia="MS Gothic" w:hAnsi="Times New Roman" w:cs="Times New Roman"/>
      <w:b/>
      <w:bCs/>
      <w:color w:val="4D4D4D"/>
      <w:sz w:val="26"/>
      <w:szCs w:val="26"/>
    </w:rPr>
  </w:style>
  <w:style w:type="character" w:customStyle="1" w:styleId="Heading3Char">
    <w:name w:val="Heading 3 Char"/>
    <w:basedOn w:val="DefaultParagraphFont"/>
    <w:link w:val="Heading3"/>
    <w:uiPriority w:val="99"/>
    <w:semiHidden/>
    <w:locked/>
    <w:rsid w:val="00125888"/>
    <w:rPr>
      <w:rFonts w:ascii="Times New Roman" w:eastAsia="MS Gothic" w:hAnsi="Times New Roman" w:cs="Times New Roman"/>
      <w:b/>
      <w:bCs/>
      <w:color w:val="5F5F5F"/>
      <w:sz w:val="24"/>
    </w:rPr>
  </w:style>
  <w:style w:type="character" w:customStyle="1" w:styleId="Heading4Char">
    <w:name w:val="Heading 4 Char"/>
    <w:basedOn w:val="DefaultParagraphFont"/>
    <w:link w:val="Heading4"/>
    <w:uiPriority w:val="99"/>
    <w:semiHidden/>
    <w:locked/>
    <w:rsid w:val="00125888"/>
    <w:rPr>
      <w:rFonts w:ascii="Times New Roman" w:eastAsia="MS Gothic" w:hAnsi="Times New Roman" w:cs="Times New Roman"/>
      <w:b/>
      <w:bCs/>
      <w:i/>
      <w:iCs/>
      <w:color w:val="777777"/>
      <w:sz w:val="24"/>
    </w:rPr>
  </w:style>
  <w:style w:type="character" w:customStyle="1" w:styleId="Heading5Char">
    <w:name w:val="Heading 5 Char"/>
    <w:basedOn w:val="DefaultParagraphFont"/>
    <w:link w:val="Heading5"/>
    <w:uiPriority w:val="99"/>
    <w:semiHidden/>
    <w:locked/>
    <w:rsid w:val="00125888"/>
    <w:rPr>
      <w:rFonts w:ascii="Times New Roman" w:eastAsia="MS Gothic" w:hAnsi="Times New Roman" w:cs="Times New Roman"/>
      <w:b/>
      <w:bCs/>
      <w:color w:val="808080"/>
    </w:rPr>
  </w:style>
  <w:style w:type="character" w:customStyle="1" w:styleId="Heading6Char">
    <w:name w:val="Heading 6 Char"/>
    <w:basedOn w:val="DefaultParagraphFont"/>
    <w:link w:val="Heading6"/>
    <w:uiPriority w:val="99"/>
    <w:semiHidden/>
    <w:locked/>
    <w:rsid w:val="00125888"/>
    <w:rPr>
      <w:rFonts w:ascii="Times New Roman" w:eastAsia="MS Gothic" w:hAnsi="Times New Roman" w:cs="Times New Roman"/>
      <w:b/>
      <w:bCs/>
      <w:i/>
      <w:iCs/>
      <w:color w:val="7F7F7F"/>
      <w:sz w:val="24"/>
    </w:rPr>
  </w:style>
  <w:style w:type="character" w:customStyle="1" w:styleId="Heading7Char">
    <w:name w:val="Heading 7 Char"/>
    <w:basedOn w:val="DefaultParagraphFont"/>
    <w:link w:val="Heading7"/>
    <w:uiPriority w:val="99"/>
    <w:semiHidden/>
    <w:locked/>
    <w:rsid w:val="00125888"/>
    <w:rPr>
      <w:rFonts w:ascii="Times New Roman" w:eastAsia="MS Gothic" w:hAnsi="Times New Roman" w:cs="Times New Roman"/>
      <w:i/>
      <w:iCs/>
    </w:rPr>
  </w:style>
  <w:style w:type="character" w:customStyle="1" w:styleId="Heading8Char">
    <w:name w:val="Heading 8 Char"/>
    <w:basedOn w:val="DefaultParagraphFont"/>
    <w:link w:val="Heading8"/>
    <w:uiPriority w:val="99"/>
    <w:semiHidden/>
    <w:locked/>
    <w:rsid w:val="00125888"/>
    <w:rPr>
      <w:rFonts w:ascii="Times New Roman" w:eastAsia="MS Gothic" w:hAnsi="Times New Roman" w:cs="Times New Roman"/>
      <w:sz w:val="20"/>
      <w:szCs w:val="20"/>
    </w:rPr>
  </w:style>
  <w:style w:type="character" w:customStyle="1" w:styleId="Heading9Char">
    <w:name w:val="Heading 9 Char"/>
    <w:basedOn w:val="DefaultParagraphFont"/>
    <w:link w:val="Heading9"/>
    <w:uiPriority w:val="99"/>
    <w:semiHidden/>
    <w:locked/>
    <w:rsid w:val="00125888"/>
    <w:rPr>
      <w:rFonts w:ascii="Times New Roman" w:eastAsia="MS Gothic" w:hAnsi="Times New Roman" w:cs="Times New Roman"/>
      <w:i/>
      <w:iCs/>
      <w:spacing w:val="5"/>
      <w:sz w:val="20"/>
      <w:szCs w:val="20"/>
    </w:rPr>
  </w:style>
  <w:style w:type="paragraph" w:styleId="BalloonText">
    <w:name w:val="Balloon Text"/>
    <w:basedOn w:val="Normal"/>
    <w:link w:val="BalloonTextChar"/>
    <w:uiPriority w:val="99"/>
    <w:semiHidden/>
    <w:rsid w:val="001258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5888"/>
    <w:rPr>
      <w:rFonts w:ascii="Tahoma" w:eastAsia="MS Mincho" w:hAnsi="Tahoma" w:cs="Tahoma"/>
      <w:sz w:val="16"/>
      <w:szCs w:val="16"/>
    </w:rPr>
  </w:style>
  <w:style w:type="character" w:styleId="BookTitle">
    <w:name w:val="Book Title"/>
    <w:basedOn w:val="DefaultParagraphFont"/>
    <w:uiPriority w:val="99"/>
    <w:qFormat/>
    <w:rsid w:val="00125888"/>
    <w:rPr>
      <w:i/>
      <w:smallCaps/>
      <w:spacing w:val="5"/>
    </w:rPr>
  </w:style>
  <w:style w:type="paragraph" w:customStyle="1" w:styleId="ECHRHeader">
    <w:name w:val="ECHR_Header"/>
    <w:aliases w:val="Ju_Header"/>
    <w:basedOn w:val="Header"/>
    <w:uiPriority w:val="99"/>
    <w:rsid w:val="00125888"/>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99"/>
    <w:semiHidden/>
    <w:rsid w:val="00125888"/>
    <w:pPr>
      <w:jc w:val="left"/>
    </w:pPr>
    <w:rPr>
      <w:sz w:val="8"/>
    </w:rPr>
  </w:style>
  <w:style w:type="character" w:styleId="Strong">
    <w:name w:val="Strong"/>
    <w:basedOn w:val="DefaultParagraphFont"/>
    <w:uiPriority w:val="99"/>
    <w:qFormat/>
    <w:rsid w:val="00125888"/>
    <w:rPr>
      <w:rFonts w:cs="Times New Roman"/>
      <w:b/>
    </w:rPr>
  </w:style>
  <w:style w:type="paragraph" w:styleId="NoSpacing">
    <w:name w:val="No Spacing"/>
    <w:basedOn w:val="Normal"/>
    <w:link w:val="NoSpacingChar"/>
    <w:uiPriority w:val="99"/>
    <w:qFormat/>
    <w:rsid w:val="00125888"/>
    <w:rPr>
      <w:sz w:val="22"/>
    </w:rPr>
  </w:style>
  <w:style w:type="character" w:customStyle="1" w:styleId="NoSpacingChar">
    <w:name w:val="No Spacing Char"/>
    <w:basedOn w:val="DefaultParagraphFont"/>
    <w:link w:val="NoSpacing"/>
    <w:uiPriority w:val="99"/>
    <w:semiHidden/>
    <w:locked/>
    <w:rsid w:val="00125888"/>
    <w:rPr>
      <w:rFonts w:eastAsia="MS Mincho" w:cs="Times New Roman"/>
    </w:rPr>
  </w:style>
  <w:style w:type="paragraph" w:customStyle="1" w:styleId="ECHRFooterLine">
    <w:name w:val="ECHR_Footer_Line"/>
    <w:aliases w:val="Footer_Line"/>
    <w:basedOn w:val="Normal"/>
    <w:next w:val="ECHRFooter"/>
    <w:uiPriority w:val="99"/>
    <w:semiHidden/>
    <w:rsid w:val="00125888"/>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99"/>
    <w:rsid w:val="00125888"/>
    <w:pPr>
      <w:numPr>
        <w:numId w:val="24"/>
      </w:numPr>
      <w:jc w:val="left"/>
    </w:pPr>
    <w:rPr>
      <w:b/>
    </w:rPr>
  </w:style>
  <w:style w:type="paragraph" w:customStyle="1" w:styleId="OpiPara">
    <w:name w:val="Opi_Para"/>
    <w:basedOn w:val="ECHRPara"/>
    <w:uiPriority w:val="99"/>
    <w:rsid w:val="00125888"/>
  </w:style>
  <w:style w:type="paragraph" w:customStyle="1" w:styleId="JuParaSub">
    <w:name w:val="Ju_Para_Sub"/>
    <w:basedOn w:val="ECHRPara"/>
    <w:uiPriority w:val="99"/>
    <w:rsid w:val="00125888"/>
    <w:pPr>
      <w:ind w:left="284"/>
    </w:pPr>
  </w:style>
  <w:style w:type="paragraph" w:customStyle="1" w:styleId="ECHRTitleCentre3">
    <w:name w:val="ECHR_Title_Centre_3"/>
    <w:aliases w:val="Ju_H_Article"/>
    <w:basedOn w:val="Normal"/>
    <w:next w:val="ECHRParaQuote"/>
    <w:uiPriority w:val="99"/>
    <w:rsid w:val="00125888"/>
    <w:pPr>
      <w:keepNext/>
      <w:keepLines/>
      <w:spacing w:before="240" w:after="120"/>
      <w:jc w:val="center"/>
      <w:outlineLvl w:val="3"/>
    </w:pPr>
    <w:rPr>
      <w:b/>
      <w:sz w:val="20"/>
    </w:rPr>
  </w:style>
  <w:style w:type="paragraph" w:customStyle="1" w:styleId="ECHRTitleCentre1">
    <w:name w:val="ECHR_Title_Centre_1"/>
    <w:aliases w:val="Opi_H_Head"/>
    <w:basedOn w:val="Normal"/>
    <w:next w:val="OpiPara"/>
    <w:uiPriority w:val="99"/>
    <w:rsid w:val="00125888"/>
    <w:pPr>
      <w:keepNext/>
      <w:keepLines/>
      <w:spacing w:after="240"/>
      <w:jc w:val="center"/>
      <w:outlineLvl w:val="0"/>
    </w:pPr>
    <w:rPr>
      <w:sz w:val="28"/>
    </w:rPr>
  </w:style>
  <w:style w:type="paragraph" w:customStyle="1" w:styleId="OpiParaSub">
    <w:name w:val="Opi_Para_Sub"/>
    <w:basedOn w:val="JuParaSub"/>
    <w:uiPriority w:val="99"/>
    <w:rsid w:val="00125888"/>
  </w:style>
  <w:style w:type="paragraph" w:customStyle="1" w:styleId="OpiQuot">
    <w:name w:val="Opi_Quot"/>
    <w:basedOn w:val="ECHRParaQuote"/>
    <w:uiPriority w:val="99"/>
    <w:rsid w:val="00125888"/>
  </w:style>
  <w:style w:type="paragraph" w:customStyle="1" w:styleId="OpiQuotSub">
    <w:name w:val="Opi_Quot_Sub"/>
    <w:basedOn w:val="JuQuotSub"/>
    <w:uiPriority w:val="99"/>
    <w:rsid w:val="00125888"/>
  </w:style>
  <w:style w:type="paragraph" w:customStyle="1" w:styleId="ECHRTitleCentre2">
    <w:name w:val="ECHR_Title_Centre_2"/>
    <w:aliases w:val="Dec_H_Case"/>
    <w:basedOn w:val="Normal"/>
    <w:next w:val="ECHRPara"/>
    <w:uiPriority w:val="99"/>
    <w:rsid w:val="00125888"/>
    <w:pPr>
      <w:spacing w:after="240"/>
      <w:jc w:val="center"/>
      <w:outlineLvl w:val="0"/>
    </w:pPr>
  </w:style>
  <w:style w:type="paragraph" w:customStyle="1" w:styleId="JuTitle">
    <w:name w:val="Ju_Title"/>
    <w:basedOn w:val="Normal"/>
    <w:next w:val="ECHRPara"/>
    <w:uiPriority w:val="99"/>
    <w:rsid w:val="00125888"/>
    <w:pPr>
      <w:spacing w:before="720" w:after="240"/>
      <w:jc w:val="center"/>
      <w:outlineLvl w:val="0"/>
    </w:pPr>
    <w:rPr>
      <w:b/>
      <w:caps/>
    </w:rPr>
  </w:style>
  <w:style w:type="paragraph" w:styleId="Title">
    <w:name w:val="Title"/>
    <w:basedOn w:val="Normal"/>
    <w:next w:val="Normal"/>
    <w:link w:val="TitleChar"/>
    <w:uiPriority w:val="99"/>
    <w:qFormat/>
    <w:rsid w:val="00125888"/>
    <w:pPr>
      <w:pBdr>
        <w:bottom w:val="single" w:sz="4" w:space="1" w:color="auto"/>
      </w:pBdr>
      <w:contextualSpacing/>
    </w:pPr>
    <w:rPr>
      <w:rFonts w:eastAsia="MS Gothic"/>
      <w:spacing w:val="5"/>
      <w:sz w:val="52"/>
      <w:szCs w:val="52"/>
    </w:rPr>
  </w:style>
  <w:style w:type="character" w:customStyle="1" w:styleId="TitleChar">
    <w:name w:val="Title Char"/>
    <w:basedOn w:val="DefaultParagraphFont"/>
    <w:link w:val="Title"/>
    <w:uiPriority w:val="99"/>
    <w:semiHidden/>
    <w:locked/>
    <w:rsid w:val="00125888"/>
    <w:rPr>
      <w:rFonts w:ascii="Times New Roman" w:eastAsia="MS Gothic" w:hAnsi="Times New Roman" w:cs="Times New Roman"/>
      <w:spacing w:val="5"/>
      <w:sz w:val="52"/>
      <w:szCs w:val="52"/>
    </w:rPr>
  </w:style>
  <w:style w:type="paragraph" w:customStyle="1" w:styleId="ECHRHeading3">
    <w:name w:val="ECHR_Heading_3"/>
    <w:aliases w:val="Ju_H_1."/>
    <w:basedOn w:val="Heading3"/>
    <w:next w:val="ECHRPara"/>
    <w:uiPriority w:val="99"/>
    <w:rsid w:val="00125888"/>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99"/>
    <w:rsid w:val="00125888"/>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99"/>
    <w:rsid w:val="00125888"/>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99"/>
    <w:rsid w:val="00125888"/>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Heading7"/>
    <w:next w:val="ECHRPara"/>
    <w:uiPriority w:val="99"/>
    <w:rsid w:val="00125888"/>
    <w:pPr>
      <w:keepNext/>
      <w:keepLines/>
      <w:spacing w:before="240" w:after="120"/>
      <w:ind w:left="1236"/>
    </w:pPr>
    <w:rPr>
      <w:sz w:val="20"/>
    </w:rPr>
  </w:style>
  <w:style w:type="paragraph" w:customStyle="1" w:styleId="JuQuotSub">
    <w:name w:val="Ju_Quot_Sub"/>
    <w:basedOn w:val="ECHRParaQuote"/>
    <w:uiPriority w:val="99"/>
    <w:rsid w:val="00125888"/>
    <w:pPr>
      <w:ind w:left="567"/>
    </w:pPr>
  </w:style>
  <w:style w:type="paragraph" w:customStyle="1" w:styleId="JuInitialled">
    <w:name w:val="Ju_Initialled"/>
    <w:basedOn w:val="Normal"/>
    <w:uiPriority w:val="99"/>
    <w:rsid w:val="00125888"/>
    <w:pPr>
      <w:tabs>
        <w:tab w:val="center" w:pos="6407"/>
      </w:tabs>
      <w:spacing w:before="720"/>
      <w:jc w:val="right"/>
    </w:pPr>
  </w:style>
  <w:style w:type="paragraph" w:customStyle="1" w:styleId="OpiHA">
    <w:name w:val="Opi_H_A"/>
    <w:basedOn w:val="ECHRHeading1"/>
    <w:next w:val="OpiPara"/>
    <w:uiPriority w:val="99"/>
    <w:rsid w:val="00125888"/>
    <w:pPr>
      <w:tabs>
        <w:tab w:val="clear" w:pos="357"/>
      </w:tabs>
      <w:outlineLvl w:val="1"/>
    </w:pPr>
    <w:rPr>
      <w:b/>
    </w:rPr>
  </w:style>
  <w:style w:type="paragraph" w:styleId="Header">
    <w:name w:val="header"/>
    <w:basedOn w:val="Normal"/>
    <w:link w:val="HeaderChar"/>
    <w:uiPriority w:val="99"/>
    <w:semiHidden/>
    <w:rsid w:val="00125888"/>
    <w:pPr>
      <w:tabs>
        <w:tab w:val="center" w:pos="4536"/>
        <w:tab w:val="right" w:pos="9072"/>
      </w:tabs>
    </w:pPr>
    <w:rPr>
      <w:rFonts w:eastAsia="Times New Roman"/>
    </w:rPr>
  </w:style>
  <w:style w:type="character" w:customStyle="1" w:styleId="HeaderChar">
    <w:name w:val="Header Char"/>
    <w:basedOn w:val="DefaultParagraphFont"/>
    <w:link w:val="Header"/>
    <w:uiPriority w:val="99"/>
    <w:semiHidden/>
    <w:locked/>
    <w:rsid w:val="00125888"/>
    <w:rPr>
      <w:rFonts w:cs="Times New Roman"/>
      <w:sz w:val="24"/>
    </w:rPr>
  </w:style>
  <w:style w:type="paragraph" w:customStyle="1" w:styleId="ECHRHeading1">
    <w:name w:val="ECHR_Heading_1"/>
    <w:aliases w:val="Ju_H_I_Roman"/>
    <w:basedOn w:val="Heading1"/>
    <w:next w:val="ECHRPara"/>
    <w:uiPriority w:val="99"/>
    <w:rsid w:val="00125888"/>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99"/>
    <w:rsid w:val="00125888"/>
    <w:pPr>
      <w:keepNext/>
      <w:keepLines/>
      <w:tabs>
        <w:tab w:val="left" w:pos="584"/>
      </w:tabs>
      <w:spacing w:before="360" w:after="240"/>
      <w:ind w:left="584" w:hanging="352"/>
    </w:pPr>
    <w:rPr>
      <w:color w:val="auto"/>
      <w:sz w:val="24"/>
    </w:rPr>
  </w:style>
  <w:style w:type="character" w:customStyle="1" w:styleId="JUNAMES">
    <w:name w:val="JU_NAMES"/>
    <w:uiPriority w:val="99"/>
    <w:rsid w:val="00125888"/>
    <w:rPr>
      <w:smallCaps/>
    </w:rPr>
  </w:style>
  <w:style w:type="paragraph" w:customStyle="1" w:styleId="JuCase">
    <w:name w:val="Ju_Case"/>
    <w:basedOn w:val="Normal"/>
    <w:next w:val="ECHRPara"/>
    <w:uiPriority w:val="99"/>
    <w:rsid w:val="00125888"/>
    <w:pPr>
      <w:ind w:firstLine="284"/>
    </w:pPr>
    <w:rPr>
      <w:b/>
    </w:rPr>
  </w:style>
  <w:style w:type="character" w:styleId="SubtleEmphasis">
    <w:name w:val="Subtle Emphasis"/>
    <w:basedOn w:val="DefaultParagraphFont"/>
    <w:uiPriority w:val="99"/>
    <w:qFormat/>
    <w:rsid w:val="00125888"/>
    <w:rPr>
      <w:i/>
    </w:rPr>
  </w:style>
  <w:style w:type="table" w:customStyle="1" w:styleId="ECHRTable">
    <w:name w:val="ECHR_Table"/>
    <w:uiPriority w:val="99"/>
    <w:rsid w:val="00860B03"/>
    <w:rPr>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ascii="Times New Roman" w:hAnsi="Times New Roman" w:cs="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rFonts w:cs="Times New Roman"/>
        <w:b/>
      </w:rPr>
    </w:tblStylePr>
    <w:tblStylePr w:type="band2Vert">
      <w:rPr>
        <w:rFonts w:cs="Times New Roman"/>
      </w:rPr>
      <w:tblPr/>
      <w:tcPr>
        <w:tcBorders>
          <w:top w:val="nil"/>
          <w:left w:val="nil"/>
          <w:bottom w:val="nil"/>
          <w:right w:val="nil"/>
          <w:insideH w:val="nil"/>
          <w:insideV w:val="nil"/>
          <w:tl2br w:val="nil"/>
          <w:tr2bl w:val="nil"/>
        </w:tcBorders>
        <w:shd w:val="clear" w:color="auto" w:fill="DFDFDF"/>
      </w:tcPr>
    </w:tblStylePr>
    <w:tblStylePr w:type="band2Horz">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uiPriority w:val="99"/>
    <w:rsid w:val="004C086C"/>
    <w:rPr>
      <w:rFonts w:ascii="Verdana" w:hAnsi="Verdana"/>
      <w:sz w:val="20"/>
      <w:szCs w:val="20"/>
    </w:rPr>
    <w:tblPr>
      <w:tblInd w:w="0" w:type="dxa"/>
      <w:tblCellMar>
        <w:top w:w="57" w:type="dxa"/>
        <w:left w:w="57" w:type="dxa"/>
        <w:bottom w:w="57" w:type="dxa"/>
        <w:right w:w="57" w:type="dxa"/>
      </w:tblCellMar>
    </w:tblPr>
    <w:tcPr>
      <w:shd w:val="clear" w:color="auto" w:fill="F8F8F8"/>
    </w:tcPr>
    <w:tblStylePr w:type="firstCol">
      <w:rPr>
        <w:rFonts w:cs="Times New Roman"/>
        <w:b/>
        <w:color w:val="5F5F5F"/>
      </w:rPr>
    </w:tblStylePr>
  </w:style>
  <w:style w:type="paragraph" w:customStyle="1" w:styleId="ECHRTitle1">
    <w:name w:val="ECHR_Title_1"/>
    <w:aliases w:val="Ju_H_Head"/>
    <w:basedOn w:val="Normal"/>
    <w:next w:val="ECHRPara"/>
    <w:uiPriority w:val="99"/>
    <w:rsid w:val="00125888"/>
    <w:pPr>
      <w:keepNext/>
      <w:keepLines/>
      <w:spacing w:before="720" w:after="240"/>
      <w:outlineLvl w:val="0"/>
    </w:pPr>
    <w:rPr>
      <w:sz w:val="28"/>
    </w:rPr>
  </w:style>
  <w:style w:type="character" w:styleId="Emphasis">
    <w:name w:val="Emphasis"/>
    <w:basedOn w:val="DefaultParagraphFont"/>
    <w:uiPriority w:val="99"/>
    <w:qFormat/>
    <w:rsid w:val="00125888"/>
    <w:rPr>
      <w:rFonts w:cs="Times New Roman"/>
      <w:b/>
      <w:i/>
      <w:spacing w:val="10"/>
      <w:shd w:val="clear" w:color="auto" w:fill="auto"/>
    </w:rPr>
  </w:style>
  <w:style w:type="paragraph" w:styleId="Footer">
    <w:name w:val="footer"/>
    <w:basedOn w:val="Normal"/>
    <w:link w:val="FooterChar"/>
    <w:uiPriority w:val="99"/>
    <w:semiHidden/>
    <w:rsid w:val="00125888"/>
    <w:pPr>
      <w:tabs>
        <w:tab w:val="center" w:pos="4536"/>
        <w:tab w:val="right" w:pos="9696"/>
      </w:tabs>
      <w:ind w:left="-680" w:right="-680"/>
    </w:pPr>
    <w:rPr>
      <w:rFonts w:eastAsia="Times New Roman"/>
    </w:rPr>
  </w:style>
  <w:style w:type="character" w:customStyle="1" w:styleId="FooterChar">
    <w:name w:val="Footer Char"/>
    <w:basedOn w:val="DefaultParagraphFont"/>
    <w:link w:val="Footer"/>
    <w:uiPriority w:val="99"/>
    <w:semiHidden/>
    <w:locked/>
    <w:rsid w:val="00125888"/>
    <w:rPr>
      <w:rFonts w:cs="Times New Roman"/>
      <w:sz w:val="24"/>
    </w:rPr>
  </w:style>
  <w:style w:type="character" w:styleId="FootnoteReference">
    <w:name w:val="footnote reference"/>
    <w:basedOn w:val="DefaultParagraphFont"/>
    <w:uiPriority w:val="99"/>
    <w:semiHidden/>
    <w:rsid w:val="00125888"/>
    <w:rPr>
      <w:rFonts w:cs="Times New Roman"/>
      <w:vertAlign w:val="superscript"/>
    </w:rPr>
  </w:style>
  <w:style w:type="paragraph" w:styleId="FootnoteText">
    <w:name w:val="footnote text"/>
    <w:basedOn w:val="Normal"/>
    <w:link w:val="FootnoteTextChar"/>
    <w:uiPriority w:val="99"/>
    <w:semiHidden/>
    <w:rsid w:val="00125888"/>
    <w:rPr>
      <w:sz w:val="20"/>
      <w:szCs w:val="20"/>
    </w:rPr>
  </w:style>
  <w:style w:type="character" w:customStyle="1" w:styleId="FootnoteTextChar">
    <w:name w:val="Footnote Text Char"/>
    <w:basedOn w:val="DefaultParagraphFont"/>
    <w:link w:val="FootnoteText"/>
    <w:uiPriority w:val="99"/>
    <w:semiHidden/>
    <w:locked/>
    <w:rsid w:val="00125888"/>
    <w:rPr>
      <w:rFonts w:eastAsia="MS Mincho" w:cs="Times New Roman"/>
      <w:sz w:val="20"/>
      <w:szCs w:val="20"/>
    </w:rPr>
  </w:style>
  <w:style w:type="character" w:styleId="Hyperlink">
    <w:name w:val="Hyperlink"/>
    <w:basedOn w:val="DefaultParagraphFont"/>
    <w:uiPriority w:val="99"/>
    <w:semiHidden/>
    <w:rsid w:val="00125888"/>
    <w:rPr>
      <w:rFonts w:cs="Times New Roman"/>
      <w:color w:val="0072BC"/>
      <w:u w:val="single"/>
    </w:rPr>
  </w:style>
  <w:style w:type="character" w:styleId="IntenseEmphasis">
    <w:name w:val="Intense Emphasis"/>
    <w:basedOn w:val="DefaultParagraphFont"/>
    <w:uiPriority w:val="99"/>
    <w:qFormat/>
    <w:rsid w:val="00125888"/>
    <w:rPr>
      <w:b/>
    </w:rPr>
  </w:style>
  <w:style w:type="paragraph" w:styleId="IntenseQuote">
    <w:name w:val="Intense Quote"/>
    <w:basedOn w:val="Normal"/>
    <w:next w:val="Normal"/>
    <w:link w:val="IntenseQuoteChar"/>
    <w:uiPriority w:val="99"/>
    <w:qFormat/>
    <w:rsid w:val="00125888"/>
    <w:pPr>
      <w:pBdr>
        <w:bottom w:val="single" w:sz="4" w:space="1" w:color="auto"/>
      </w:pBdr>
      <w:spacing w:before="200" w:after="280"/>
      <w:ind w:left="1008" w:right="1152"/>
    </w:pPr>
    <w:rPr>
      <w:b/>
      <w:bCs/>
      <w:i/>
      <w:iCs/>
      <w:sz w:val="22"/>
    </w:rPr>
  </w:style>
  <w:style w:type="character" w:customStyle="1" w:styleId="IntenseQuoteChar">
    <w:name w:val="Intense Quote Char"/>
    <w:basedOn w:val="DefaultParagraphFont"/>
    <w:link w:val="IntenseQuote"/>
    <w:uiPriority w:val="99"/>
    <w:semiHidden/>
    <w:locked/>
    <w:rsid w:val="00125888"/>
    <w:rPr>
      <w:rFonts w:eastAsia="MS Mincho" w:cs="Times New Roman"/>
      <w:b/>
      <w:bCs/>
      <w:i/>
      <w:iCs/>
    </w:rPr>
  </w:style>
  <w:style w:type="character" w:styleId="IntenseReference">
    <w:name w:val="Intense Reference"/>
    <w:basedOn w:val="DefaultParagraphFont"/>
    <w:uiPriority w:val="99"/>
    <w:qFormat/>
    <w:rsid w:val="00125888"/>
    <w:rPr>
      <w:smallCaps/>
      <w:spacing w:val="5"/>
      <w:u w:val="single"/>
    </w:rPr>
  </w:style>
  <w:style w:type="paragraph" w:styleId="ListParagraph">
    <w:name w:val="List Paragraph"/>
    <w:basedOn w:val="Normal"/>
    <w:uiPriority w:val="99"/>
    <w:qFormat/>
    <w:rsid w:val="00125888"/>
    <w:pPr>
      <w:ind w:left="720"/>
      <w:contextualSpacing/>
    </w:pPr>
  </w:style>
  <w:style w:type="table" w:customStyle="1" w:styleId="LtrTableAddress">
    <w:name w:val="Ltr_Table_Address"/>
    <w:uiPriority w:val="99"/>
    <w:rsid w:val="001E6F32"/>
    <w:rPr>
      <w:sz w:val="20"/>
      <w:szCs w:val="20"/>
    </w:rPr>
    <w:tblPr>
      <w:tblInd w:w="5103" w:type="dxa"/>
      <w:tblCellMar>
        <w:top w:w="0" w:type="dxa"/>
        <w:left w:w="108" w:type="dxa"/>
        <w:bottom w:w="0" w:type="dxa"/>
        <w:right w:w="108" w:type="dxa"/>
      </w:tblCellMar>
    </w:tblPr>
  </w:style>
  <w:style w:type="paragraph" w:styleId="Quote">
    <w:name w:val="Quote"/>
    <w:basedOn w:val="Normal"/>
    <w:next w:val="Normal"/>
    <w:link w:val="QuoteChar"/>
    <w:uiPriority w:val="99"/>
    <w:qFormat/>
    <w:rsid w:val="00125888"/>
    <w:pPr>
      <w:spacing w:before="200"/>
      <w:ind w:left="360" w:right="360"/>
    </w:pPr>
    <w:rPr>
      <w:i/>
      <w:iCs/>
      <w:sz w:val="22"/>
    </w:rPr>
  </w:style>
  <w:style w:type="character" w:customStyle="1" w:styleId="QuoteChar">
    <w:name w:val="Quote Char"/>
    <w:basedOn w:val="DefaultParagraphFont"/>
    <w:link w:val="Quote"/>
    <w:uiPriority w:val="99"/>
    <w:semiHidden/>
    <w:locked/>
    <w:rsid w:val="00125888"/>
    <w:rPr>
      <w:rFonts w:eastAsia="MS Mincho" w:cs="Times New Roman"/>
      <w:i/>
      <w:iCs/>
    </w:rPr>
  </w:style>
  <w:style w:type="character" w:styleId="SubtleReference">
    <w:name w:val="Subtle Reference"/>
    <w:basedOn w:val="DefaultParagraphFont"/>
    <w:uiPriority w:val="99"/>
    <w:qFormat/>
    <w:rsid w:val="00125888"/>
    <w:rPr>
      <w:smallCaps/>
    </w:rPr>
  </w:style>
  <w:style w:type="table" w:styleId="TableGrid">
    <w:name w:val="Table Grid"/>
    <w:basedOn w:val="TableNormal"/>
    <w:uiPriority w:val="99"/>
    <w:semiHidden/>
    <w:rsid w:val="00125888"/>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125888"/>
    <w:pPr>
      <w:spacing w:before="120" w:after="60"/>
      <w:ind w:left="340" w:right="340" w:hanging="340"/>
    </w:pPr>
    <w:rPr>
      <w:color w:val="0D0D0D"/>
    </w:rPr>
  </w:style>
  <w:style w:type="paragraph" w:styleId="TOC2">
    <w:name w:val="toc 2"/>
    <w:basedOn w:val="Normal"/>
    <w:next w:val="Normal"/>
    <w:autoRedefine/>
    <w:uiPriority w:val="99"/>
    <w:semiHidden/>
    <w:rsid w:val="00125888"/>
    <w:pPr>
      <w:spacing w:after="60"/>
      <w:ind w:left="680" w:right="340" w:hanging="340"/>
    </w:pPr>
  </w:style>
  <w:style w:type="paragraph" w:styleId="TOC3">
    <w:name w:val="toc 3"/>
    <w:basedOn w:val="Normal"/>
    <w:next w:val="Normal"/>
    <w:autoRedefine/>
    <w:uiPriority w:val="99"/>
    <w:semiHidden/>
    <w:rsid w:val="00125888"/>
    <w:pPr>
      <w:spacing w:after="60"/>
      <w:ind w:left="1020" w:right="340" w:hanging="340"/>
    </w:pPr>
  </w:style>
  <w:style w:type="paragraph" w:styleId="TOC4">
    <w:name w:val="toc 4"/>
    <w:basedOn w:val="Normal"/>
    <w:next w:val="Normal"/>
    <w:autoRedefine/>
    <w:uiPriority w:val="99"/>
    <w:semiHidden/>
    <w:rsid w:val="00125888"/>
    <w:pPr>
      <w:tabs>
        <w:tab w:val="right" w:leader="dot" w:pos="9017"/>
      </w:tabs>
      <w:spacing w:after="60"/>
      <w:ind w:left="1361" w:right="340" w:hanging="340"/>
    </w:pPr>
  </w:style>
  <w:style w:type="paragraph" w:styleId="TOC5">
    <w:name w:val="toc 5"/>
    <w:basedOn w:val="Normal"/>
    <w:next w:val="Normal"/>
    <w:autoRedefine/>
    <w:uiPriority w:val="99"/>
    <w:semiHidden/>
    <w:rsid w:val="00125888"/>
    <w:pPr>
      <w:spacing w:after="60"/>
      <w:ind w:left="1701" w:right="340" w:hanging="340"/>
    </w:pPr>
  </w:style>
  <w:style w:type="paragraph" w:styleId="TOCHeading">
    <w:name w:val="TOC Heading"/>
    <w:basedOn w:val="Heading1"/>
    <w:next w:val="Normal"/>
    <w:uiPriority w:val="99"/>
    <w:qFormat/>
    <w:rsid w:val="00125888"/>
    <w:pPr>
      <w:outlineLvl w:val="9"/>
    </w:pPr>
    <w:rPr>
      <w:color w:val="474747"/>
    </w:rPr>
  </w:style>
  <w:style w:type="table" w:customStyle="1" w:styleId="UGTable">
    <w:name w:val="UG_Table"/>
    <w:uiPriority w:val="99"/>
    <w:rsid w:val="00801300"/>
    <w:rPr>
      <w:rFonts w:eastAsia="MS Mincho"/>
      <w:sz w:val="20"/>
      <w:szCs w:val="20"/>
      <w:lang w:eastAsia="en-GB"/>
    </w:rPr>
    <w:tblPr>
      <w:tblInd w:w="-1191" w:type="dxa"/>
      <w:tblCellMar>
        <w:top w:w="57" w:type="dxa"/>
        <w:left w:w="0" w:type="dxa"/>
        <w:bottom w:w="0" w:type="dxa"/>
        <w:right w:w="0" w:type="dxa"/>
      </w:tblCellMar>
    </w:tblPr>
    <w:tblStylePr w:type="swCell">
      <w:rPr>
        <w:rFonts w:cs="Times New Roman"/>
      </w:rPr>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uiPriority w:val="99"/>
    <w:rsid w:val="00801300"/>
    <w:rPr>
      <w:rFonts w:eastAsia="MS Mincho"/>
      <w:sz w:val="20"/>
      <w:szCs w:val="20"/>
      <w:lang w:eastAsia="en-GB"/>
    </w:rPr>
    <w:tblPr>
      <w:tblInd w:w="0" w:type="dxa"/>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uiPriority w:val="99"/>
    <w:rsid w:val="00810B38"/>
    <w:rPr>
      <w:color w:val="000000"/>
      <w:sz w:val="18"/>
      <w:szCs w:val="20"/>
    </w:rPr>
    <w:tblPr>
      <w:tblInd w:w="0" w:type="dxa"/>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CellMar>
        <w:top w:w="0" w:type="dxa"/>
        <w:left w:w="108" w:type="dxa"/>
        <w:bottom w:w="0" w:type="dxa"/>
        <w:right w:w="108" w:type="dxa"/>
      </w:tblCellMar>
    </w:tblPr>
    <w:tblStylePr w:type="firstRow">
      <w:pPr>
        <w:spacing w:beforeLines="0" w:beforeAutospacing="0" w:afterLines="0" w:afterAutospacing="0"/>
        <w:contextualSpacing/>
        <w:jc w:val="center"/>
      </w:pPr>
      <w:rPr>
        <w:rFonts w:cs="Times New Roman"/>
        <w:b/>
        <w:i w:val="0"/>
        <w:color w:val="FFFFFF"/>
        <w:sz w:val="20"/>
      </w:rPr>
      <w:tblPr/>
      <w:tcPr>
        <w:tcBorders>
          <w:top w:val="nil"/>
          <w:left w:val="nil"/>
          <w:bottom w:val="nil"/>
          <w:right w:val="nil"/>
          <w:insideH w:val="nil"/>
          <w:insideV w:val="nil"/>
          <w:tl2br w:val="nil"/>
          <w:tr2bl w:val="nil"/>
        </w:tcBorders>
        <w:shd w:val="clear" w:color="auto" w:fill="0072BC"/>
      </w:tcPr>
    </w:tblStylePr>
    <w:tblStylePr w:type="firstCol">
      <w:pPr>
        <w:jc w:val="left"/>
      </w:pPr>
      <w:rPr>
        <w:rFonts w:cs="Times New Roman"/>
      </w:rPr>
    </w:tblStylePr>
  </w:style>
  <w:style w:type="table" w:customStyle="1" w:styleId="ECHRTableFax">
    <w:name w:val="ECHR_Table_Fax"/>
    <w:uiPriority w:val="99"/>
    <w:rsid w:val="00893576"/>
    <w:rPr>
      <w:color w:val="000000"/>
      <w:sz w:val="20"/>
      <w:szCs w:val="20"/>
    </w:rPr>
    <w:tblPr>
      <w:tblInd w:w="-680" w:type="dxa"/>
      <w:tblBorders>
        <w:insideH w:val="single" w:sz="4" w:space="0" w:color="C6C6C6"/>
        <w:insideV w:val="single" w:sz="4" w:space="0" w:color="C6C6C6"/>
      </w:tblBorders>
      <w:tblCellMar>
        <w:top w:w="142" w:type="dxa"/>
        <w:left w:w="108" w:type="dxa"/>
        <w:bottom w:w="142" w:type="dxa"/>
        <w:right w:w="108" w:type="dxa"/>
      </w:tblCellMar>
    </w:tblPr>
    <w:trPr>
      <w:cantSplit/>
    </w:trPr>
  </w:style>
  <w:style w:type="table" w:customStyle="1" w:styleId="ECHRTableMemo">
    <w:name w:val="ECHR_Table_Memo"/>
    <w:uiPriority w:val="99"/>
    <w:rsid w:val="00210338"/>
    <w:rPr>
      <w:sz w:val="20"/>
      <w:szCs w:val="20"/>
    </w:rPr>
    <w:tblPr>
      <w:jc w:val="center"/>
      <w:tblInd w:w="0" w:type="dxa"/>
      <w:tblCellMar>
        <w:top w:w="113" w:type="dxa"/>
        <w:left w:w="0" w:type="dxa"/>
        <w:bottom w:w="113" w:type="dxa"/>
        <w:right w:w="0" w:type="dxa"/>
      </w:tblCellMar>
    </w:tblPr>
    <w:trPr>
      <w:jc w:val="center"/>
    </w:trPr>
    <w:tblStylePr w:type="lastRow">
      <w:rPr>
        <w:rFonts w:cs="Times New Roman"/>
      </w:rPr>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uiPriority w:val="99"/>
    <w:rsid w:val="0090506B"/>
    <w:rPr>
      <w:sz w:val="20"/>
      <w:szCs w:val="20"/>
    </w:rPr>
    <w:tblPr>
      <w:jc w:val="center"/>
      <w:tblInd w:w="0" w:type="dxa"/>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left w:w="108" w:type="dxa"/>
        <w:bottom w:w="57" w:type="dxa"/>
        <w:right w:w="108" w:type="dxa"/>
      </w:tblCellMar>
    </w:tblPr>
    <w:trPr>
      <w:jc w:val="center"/>
    </w:trPr>
    <w:tblStylePr w:type="firstRow">
      <w:pPr>
        <w:spacing w:beforeLines="0"/>
        <w:ind w:leftChars="0" w:left="0"/>
      </w:pPr>
      <w:rPr>
        <w:rFonts w:ascii="Times New Roman" w:hAnsi="Times New Roman" w:cs="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9"/>
    <w:semiHidden/>
    <w:rsid w:val="00125888"/>
    <w:pPr>
      <w:spacing w:before="120"/>
    </w:pPr>
    <w:rPr>
      <w:rFonts w:eastAsia="MS Gothic"/>
      <w:b/>
      <w:bCs/>
      <w:color w:val="474747"/>
      <w:szCs w:val="24"/>
    </w:rPr>
  </w:style>
  <w:style w:type="paragraph" w:customStyle="1" w:styleId="ECHRParaQuote">
    <w:name w:val="ECHR_Para_Quote"/>
    <w:aliases w:val="Ju_Quot"/>
    <w:basedOn w:val="Normal"/>
    <w:uiPriority w:val="99"/>
    <w:rsid w:val="00125888"/>
    <w:pPr>
      <w:spacing w:before="120" w:after="120"/>
      <w:ind w:left="425" w:firstLine="142"/>
    </w:pPr>
    <w:rPr>
      <w:sz w:val="20"/>
    </w:rPr>
  </w:style>
  <w:style w:type="paragraph" w:customStyle="1" w:styleId="ECHRPara">
    <w:name w:val="ECHR_Para"/>
    <w:aliases w:val="Ju_Para,Para"/>
    <w:basedOn w:val="Normal"/>
    <w:link w:val="ECHRParaChar"/>
    <w:uiPriority w:val="99"/>
    <w:rsid w:val="00125888"/>
    <w:pPr>
      <w:ind w:firstLine="284"/>
    </w:pPr>
    <w:rPr>
      <w:szCs w:val="20"/>
      <w:lang w:eastAsia="ru-RU"/>
    </w:rPr>
  </w:style>
  <w:style w:type="table" w:customStyle="1" w:styleId="ECHRTableSimpleBox">
    <w:name w:val="ECHR_Table_Simple_Box"/>
    <w:uiPriority w:val="99"/>
    <w:rsid w:val="00AE354C"/>
    <w:rPr>
      <w:sz w:val="20"/>
      <w:szCs w:val="20"/>
    </w:rPr>
    <w:tblPr>
      <w:tblInd w:w="0" w:type="dxa"/>
      <w:tblBorders>
        <w:top w:val="single" w:sz="4" w:space="0" w:color="9F9F9F"/>
        <w:left w:val="single" w:sz="4" w:space="0" w:color="9F9F9F"/>
        <w:bottom w:val="single" w:sz="4" w:space="0" w:color="9F9F9F"/>
        <w:right w:val="single" w:sz="4" w:space="0" w:color="9F9F9F"/>
      </w:tblBorders>
      <w:tblCellMar>
        <w:top w:w="113" w:type="dxa"/>
        <w:left w:w="108" w:type="dxa"/>
        <w:bottom w:w="113" w:type="dxa"/>
        <w:right w:w="108" w:type="dxa"/>
      </w:tblCellMar>
    </w:tblPr>
  </w:style>
  <w:style w:type="table" w:customStyle="1" w:styleId="ECHRTableNoLines">
    <w:name w:val="ECHR_Table_No_Lines"/>
    <w:uiPriority w:val="99"/>
    <w:rsid w:val="00F218EF"/>
    <w:rPr>
      <w:sz w:val="20"/>
      <w:szCs w:val="20"/>
    </w:rPr>
    <w:tblPr>
      <w:tblInd w:w="0" w:type="dxa"/>
      <w:tblCellMar>
        <w:top w:w="85" w:type="dxa"/>
        <w:left w:w="142" w:type="dxa"/>
        <w:bottom w:w="28" w:type="dxa"/>
        <w:right w:w="142" w:type="dxa"/>
      </w:tblCellMar>
    </w:tblPr>
    <w:tblStylePr w:type="firstRow">
      <w:rPr>
        <w:rFonts w:ascii="Times New Roman" w:hAnsi="Times New Roman" w:cs="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table" w:customStyle="1" w:styleId="ECHRTableForInternalUse">
    <w:name w:val="ECHR_Table_For_Internal_Use"/>
    <w:uiPriority w:val="99"/>
    <w:rsid w:val="005474E7"/>
    <w:rPr>
      <w:color w:val="636363"/>
      <w:sz w:val="18"/>
      <w:szCs w:val="20"/>
    </w:rPr>
    <w:tblPr>
      <w:tblStyleColBandSize w:val="1"/>
      <w:jc w:val="right"/>
      <w:tblInd w:w="0" w:type="dxa"/>
      <w:tblCellMar>
        <w:top w:w="113" w:type="dxa"/>
        <w:left w:w="108" w:type="dxa"/>
        <w:bottom w:w="28" w:type="dxa"/>
        <w:right w:w="108" w:type="dxa"/>
      </w:tblCellMar>
    </w:tblPr>
    <w:trPr>
      <w:jc w:val="right"/>
    </w:trPr>
    <w:tblStylePr w:type="firstRow">
      <w:rPr>
        <w:rFonts w:cs="Times New Roman"/>
        <w:b/>
      </w:rPr>
    </w:tblStylePr>
    <w:tblStylePr w:type="lastCol">
      <w:pPr>
        <w:jc w:val="right"/>
      </w:pPr>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rPr>
        <w:rFonts w:cs="Times New Roman"/>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uiPriority w:val="99"/>
    <w:rsid w:val="00125888"/>
    <w:rPr>
      <w:sz w:val="20"/>
      <w:szCs w:val="20"/>
    </w:rPr>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cs="Times New Roman"/>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table" w:customStyle="1" w:styleId="ECHRHeaderTable">
    <w:name w:val="ECHR_Header_Table"/>
    <w:uiPriority w:val="99"/>
    <w:rsid w:val="00661971"/>
    <w:rPr>
      <w:sz w:val="20"/>
      <w:szCs w:val="20"/>
    </w:rPr>
    <w:tblPr>
      <w:tblInd w:w="-680" w:type="dxa"/>
      <w:tblBorders>
        <w:bottom w:val="single" w:sz="6" w:space="0" w:color="949494"/>
      </w:tblBorders>
      <w:tblCellMar>
        <w:top w:w="0" w:type="dxa"/>
        <w:left w:w="0" w:type="dxa"/>
        <w:bottom w:w="28" w:type="dxa"/>
        <w:right w:w="0" w:type="dxa"/>
      </w:tblCellMar>
    </w:tblPr>
    <w:tblStylePr w:type="lastCol">
      <w:pPr>
        <w:jc w:val="both"/>
      </w:pPr>
      <w:rPr>
        <w:rFonts w:cs="Times New Roman"/>
      </w:rPr>
    </w:tblStylePr>
  </w:style>
  <w:style w:type="table" w:customStyle="1" w:styleId="ECHRTableOddBanded">
    <w:name w:val="ECHR_Table_Odd_Banded"/>
    <w:uiPriority w:val="99"/>
    <w:rsid w:val="00860B03"/>
    <w:rPr>
      <w:sz w:val="20"/>
      <w:szCs w:val="20"/>
    </w:rPr>
    <w:tblPr>
      <w:tblStyleRowBandSize w:val="1"/>
      <w:tblStyleColBandSize w:val="1"/>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tblStylePr w:type="firstRow">
      <w:rPr>
        <w:rFonts w:ascii="Times New Roman" w:hAnsi="Times New Roman" w:cs="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rPr>
        <w:rFonts w:cs="Times New Roman"/>
      </w:rPr>
      <w:tblPr/>
      <w:tcPr>
        <w:tcBorders>
          <w:top w:val="nil"/>
          <w:left w:val="nil"/>
          <w:bottom w:val="nil"/>
          <w:right w:val="nil"/>
          <w:insideH w:val="nil"/>
          <w:insideV w:val="nil"/>
          <w:tl2br w:val="nil"/>
          <w:tr2bl w:val="nil"/>
        </w:tcBorders>
        <w:shd w:val="clear" w:color="auto" w:fill="DFDFDF"/>
      </w:tcPr>
    </w:tblStylePr>
    <w:tblStylePr w:type="band1Horz">
      <w:rPr>
        <w:rFonts w:cs="Times New Roman"/>
        <w:b/>
      </w:rPr>
      <w:tblPr/>
      <w:tcPr>
        <w:shd w:val="clear" w:color="auto" w:fill="DFDFDF"/>
      </w:tcPr>
    </w:tblStylePr>
  </w:style>
  <w:style w:type="paragraph" w:customStyle="1" w:styleId="ECHRDecisionBody">
    <w:name w:val="ECHR_Decision_Body"/>
    <w:aliases w:val="Ju_Judges"/>
    <w:basedOn w:val="Normal"/>
    <w:uiPriority w:val="99"/>
    <w:rsid w:val="00125888"/>
    <w:pPr>
      <w:tabs>
        <w:tab w:val="left" w:pos="567"/>
        <w:tab w:val="left" w:pos="1134"/>
      </w:tabs>
      <w:jc w:val="left"/>
    </w:pPr>
  </w:style>
  <w:style w:type="table" w:customStyle="1" w:styleId="ECHRHeaderTableReduced">
    <w:name w:val="ECHR_Header_Table_Reduced"/>
    <w:uiPriority w:val="99"/>
    <w:rsid w:val="00B52BE0"/>
    <w:rPr>
      <w:sz w:val="20"/>
      <w:szCs w:val="20"/>
    </w:rPr>
    <w:tblPr>
      <w:tblInd w:w="-680" w:type="dxa"/>
      <w:tblCellMar>
        <w:top w:w="0" w:type="dxa"/>
        <w:left w:w="0" w:type="dxa"/>
        <w:bottom w:w="0" w:type="dxa"/>
        <w:right w:w="0" w:type="dxa"/>
      </w:tblCellMar>
    </w:tblPr>
    <w:tblStylePr w:type="firstRow">
      <w:rPr>
        <w:rFonts w:cs="Times New Roman"/>
      </w:rPr>
      <w:tblPr/>
      <w:tcPr>
        <w:tcBorders>
          <w:top w:val="nil"/>
          <w:left w:val="nil"/>
          <w:bottom w:val="single" w:sz="6" w:space="0" w:color="949494"/>
          <w:right w:val="nil"/>
          <w:insideH w:val="nil"/>
          <w:insideV w:val="nil"/>
          <w:tl2br w:val="nil"/>
          <w:tr2bl w:val="nil"/>
        </w:tcBorders>
      </w:tcPr>
    </w:tblStylePr>
    <w:tblStylePr w:type="lastRow">
      <w:pPr>
        <w:jc w:val="right"/>
      </w:pPr>
      <w:rPr>
        <w:rFonts w:cs="Times New Roman"/>
      </w:rPr>
      <w:tblPr/>
      <w:tcPr>
        <w:tcBorders>
          <w:top w:val="single" w:sz="6" w:space="0" w:color="949494"/>
          <w:left w:val="nil"/>
          <w:bottom w:val="nil"/>
          <w:right w:val="nil"/>
          <w:insideH w:val="nil"/>
          <w:insideV w:val="nil"/>
          <w:tl2br w:val="nil"/>
          <w:tr2bl w:val="nil"/>
        </w:tcBorders>
      </w:tcPr>
    </w:tblStylePr>
  </w:style>
  <w:style w:type="paragraph" w:customStyle="1" w:styleId="JuList">
    <w:name w:val="Ju_List"/>
    <w:basedOn w:val="Normal"/>
    <w:uiPriority w:val="99"/>
    <w:rsid w:val="00125888"/>
    <w:pPr>
      <w:ind w:left="340" w:hanging="340"/>
    </w:pPr>
  </w:style>
  <w:style w:type="paragraph" w:customStyle="1" w:styleId="JuSigned">
    <w:name w:val="Ju_Signed"/>
    <w:basedOn w:val="Normal"/>
    <w:next w:val="JuParaLast"/>
    <w:uiPriority w:val="99"/>
    <w:rsid w:val="00125888"/>
    <w:pPr>
      <w:tabs>
        <w:tab w:val="center" w:pos="851"/>
        <w:tab w:val="center" w:pos="6407"/>
      </w:tabs>
      <w:spacing w:before="720"/>
      <w:jc w:val="left"/>
    </w:pPr>
  </w:style>
  <w:style w:type="paragraph" w:customStyle="1" w:styleId="JuParaLast">
    <w:name w:val="Ju_Para_Last"/>
    <w:basedOn w:val="Normal"/>
    <w:next w:val="ECHRPara"/>
    <w:uiPriority w:val="99"/>
    <w:rsid w:val="00125888"/>
    <w:pPr>
      <w:keepNext/>
      <w:keepLines/>
      <w:spacing w:before="240"/>
      <w:ind w:firstLine="284"/>
    </w:pPr>
  </w:style>
  <w:style w:type="paragraph" w:customStyle="1" w:styleId="OpiTranslation">
    <w:name w:val="Opi_Translation"/>
    <w:basedOn w:val="Normal"/>
    <w:next w:val="OpiPara"/>
    <w:uiPriority w:val="99"/>
    <w:rsid w:val="00125888"/>
    <w:pPr>
      <w:jc w:val="center"/>
      <w:outlineLvl w:val="0"/>
    </w:pPr>
    <w:rPr>
      <w:i/>
    </w:rPr>
  </w:style>
  <w:style w:type="character" w:styleId="PageNumber">
    <w:name w:val="page number"/>
    <w:basedOn w:val="DefaultParagraphFont"/>
    <w:uiPriority w:val="99"/>
    <w:semiHidden/>
    <w:rsid w:val="00014566"/>
    <w:rPr>
      <w:rFonts w:cs="Times New Roman"/>
      <w:sz w:val="18"/>
    </w:rPr>
  </w:style>
  <w:style w:type="paragraph" w:customStyle="1" w:styleId="DecHTitle">
    <w:name w:val="Dec_H_Title"/>
    <w:basedOn w:val="ECHRTitleCentre1"/>
    <w:uiPriority w:val="99"/>
    <w:rsid w:val="00125888"/>
  </w:style>
  <w:style w:type="paragraph" w:customStyle="1" w:styleId="JuCourt">
    <w:name w:val="Ju_Court"/>
    <w:basedOn w:val="Normal"/>
    <w:next w:val="Normal"/>
    <w:uiPriority w:val="99"/>
    <w:rsid w:val="00125888"/>
    <w:pPr>
      <w:tabs>
        <w:tab w:val="left" w:pos="907"/>
        <w:tab w:val="left" w:pos="1701"/>
        <w:tab w:val="right" w:pos="7371"/>
      </w:tabs>
      <w:spacing w:before="240"/>
      <w:ind w:left="397" w:hanging="397"/>
      <w:jc w:val="left"/>
    </w:pPr>
  </w:style>
  <w:style w:type="character" w:styleId="CommentReference">
    <w:name w:val="annotation reference"/>
    <w:basedOn w:val="DefaultParagraphFont"/>
    <w:uiPriority w:val="99"/>
    <w:semiHidden/>
    <w:rsid w:val="00014566"/>
    <w:rPr>
      <w:rFonts w:cs="Times New Roman"/>
      <w:sz w:val="16"/>
    </w:rPr>
  </w:style>
  <w:style w:type="paragraph" w:styleId="CommentText">
    <w:name w:val="annotation text"/>
    <w:basedOn w:val="Normal"/>
    <w:link w:val="CommentTextChar"/>
    <w:uiPriority w:val="99"/>
    <w:semiHidden/>
    <w:rsid w:val="00014566"/>
    <w:rPr>
      <w:sz w:val="20"/>
    </w:rPr>
  </w:style>
  <w:style w:type="character" w:customStyle="1" w:styleId="CommentTextChar">
    <w:name w:val="Comment Text Char"/>
    <w:basedOn w:val="DefaultParagraphFont"/>
    <w:link w:val="CommentText"/>
    <w:uiPriority w:val="99"/>
    <w:semiHidden/>
    <w:locked/>
    <w:rsid w:val="00014566"/>
    <w:rPr>
      <w:rFonts w:eastAsia="MS Mincho" w:cs="Times New Roman"/>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locked/>
    <w:rsid w:val="00014566"/>
    <w:rPr>
      <w:b/>
      <w:bCs/>
    </w:rPr>
  </w:style>
  <w:style w:type="character" w:styleId="EndnoteReference">
    <w:name w:val="endnote reference"/>
    <w:basedOn w:val="DefaultParagraphFont"/>
    <w:uiPriority w:val="99"/>
    <w:semiHidden/>
    <w:rsid w:val="00014566"/>
    <w:rPr>
      <w:rFonts w:cs="Times New Roman"/>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locked/>
    <w:rsid w:val="00014566"/>
    <w:rPr>
      <w:rFonts w:eastAsia="MS Mincho" w:cs="Times New Roman"/>
      <w:sz w:val="20"/>
    </w:rPr>
  </w:style>
  <w:style w:type="character" w:styleId="FollowedHyperlink">
    <w:name w:val="FollowedHyperlink"/>
    <w:basedOn w:val="DefaultParagraphFont"/>
    <w:uiPriority w:val="99"/>
    <w:semiHidden/>
    <w:rsid w:val="00014566"/>
    <w:rPr>
      <w:rFonts w:cs="Times New Roman"/>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14566"/>
    <w:rPr>
      <w:rFonts w:ascii="Tahoma" w:eastAsia="MS Mincho" w:hAnsi="Tahoma" w:cs="Tahoma"/>
      <w:sz w:val="20"/>
      <w:shd w:val="clear" w:color="auto" w:fill="000080"/>
    </w:rPr>
  </w:style>
  <w:style w:type="paragraph" w:customStyle="1" w:styleId="DecList">
    <w:name w:val="Dec_List"/>
    <w:basedOn w:val="Normal"/>
    <w:uiPriority w:val="99"/>
    <w:rsid w:val="00125888"/>
    <w:pPr>
      <w:spacing w:before="240"/>
      <w:ind w:left="284"/>
    </w:pPr>
  </w:style>
  <w:style w:type="paragraph" w:styleId="ListBullet">
    <w:name w:val="List Bullet"/>
    <w:basedOn w:val="Normal"/>
    <w:uiPriority w:val="99"/>
    <w:semiHidden/>
    <w:rsid w:val="00014566"/>
    <w:pPr>
      <w:numPr>
        <w:numId w:val="11"/>
      </w:numPr>
    </w:pPr>
  </w:style>
  <w:style w:type="character" w:customStyle="1" w:styleId="JuITMark">
    <w:name w:val="Ju_ITMark"/>
    <w:basedOn w:val="DefaultParagraphFont"/>
    <w:uiPriority w:val="99"/>
    <w:rsid w:val="00125888"/>
    <w:rPr>
      <w:rFonts w:cs="Times New Roman"/>
      <w:color w:val="auto"/>
      <w:sz w:val="14"/>
    </w:rPr>
  </w:style>
  <w:style w:type="paragraph" w:styleId="Subtitle">
    <w:name w:val="Subtitle"/>
    <w:basedOn w:val="Normal"/>
    <w:next w:val="Normal"/>
    <w:link w:val="SubtitleChar"/>
    <w:uiPriority w:val="99"/>
    <w:qFormat/>
    <w:rsid w:val="00125888"/>
    <w:pPr>
      <w:spacing w:after="600"/>
    </w:pPr>
    <w:rPr>
      <w:rFonts w:eastAsia="MS Gothic"/>
      <w:i/>
      <w:iCs/>
      <w:spacing w:val="13"/>
      <w:szCs w:val="24"/>
    </w:rPr>
  </w:style>
  <w:style w:type="character" w:customStyle="1" w:styleId="SubtitleChar">
    <w:name w:val="Subtitle Char"/>
    <w:basedOn w:val="DefaultParagraphFont"/>
    <w:link w:val="Subtitle"/>
    <w:uiPriority w:val="99"/>
    <w:semiHidden/>
    <w:locked/>
    <w:rsid w:val="00125888"/>
    <w:rPr>
      <w:rFonts w:ascii="Times New Roman" w:eastAsia="MS Gothic" w:hAnsi="Times New Roman" w:cs="Times New Roman"/>
      <w:i/>
      <w:iCs/>
      <w:spacing w:val="13"/>
      <w:sz w:val="24"/>
      <w:szCs w:val="24"/>
    </w:rPr>
  </w:style>
  <w:style w:type="paragraph" w:styleId="Bibliography">
    <w:name w:val="Bibliography"/>
    <w:basedOn w:val="Normal"/>
    <w:next w:val="Normal"/>
    <w:uiPriority w:val="99"/>
    <w:semiHidden/>
    <w:rsid w:val="00014566"/>
  </w:style>
  <w:style w:type="paragraph" w:styleId="BlockText">
    <w:name w:val="Block Text"/>
    <w:basedOn w:val="Normal"/>
    <w:uiPriority w:val="99"/>
    <w:semiHidden/>
    <w:rsid w:val="00014566"/>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locked/>
    <w:rsid w:val="00014566"/>
    <w:rPr>
      <w:rFonts w:eastAsia="MS Mincho" w:cs="Times New Roman"/>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locked/>
    <w:rsid w:val="00014566"/>
    <w:rPr>
      <w:rFonts w:eastAsia="MS Mincho" w:cs="Times New Roman"/>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locked/>
    <w:rsid w:val="00014566"/>
    <w:rPr>
      <w:rFonts w:eastAsia="MS Mincho" w:cs="Times New Roman"/>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locked/>
    <w:rsid w:val="00014566"/>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locked/>
    <w:rsid w:val="00014566"/>
    <w:rPr>
      <w:rFonts w:eastAsia="MS Mincho" w:cs="Times New Roman"/>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014566"/>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4566"/>
    <w:rPr>
      <w:rFonts w:eastAsia="MS Mincho" w:cs="Times New Roman"/>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014566"/>
    <w:rPr>
      <w:rFonts w:eastAsia="MS Mincho" w:cs="Times New Roman"/>
      <w:sz w:val="16"/>
      <w:szCs w:val="16"/>
    </w:rPr>
  </w:style>
  <w:style w:type="paragraph" w:styleId="Caption">
    <w:name w:val="caption"/>
    <w:basedOn w:val="Normal"/>
    <w:next w:val="Normal"/>
    <w:uiPriority w:val="99"/>
    <w:qFormat/>
    <w:rsid w:val="00014566"/>
    <w:pPr>
      <w:spacing w:after="200"/>
    </w:pPr>
    <w:rPr>
      <w:b/>
      <w:bCs/>
      <w:color w:val="0072BC"/>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locked/>
    <w:rsid w:val="00014566"/>
    <w:rPr>
      <w:rFonts w:eastAsia="MS Mincho" w:cs="Times New Roman"/>
      <w:sz w:val="24"/>
    </w:rPr>
  </w:style>
  <w:style w:type="table" w:styleId="ColorfulGrid">
    <w:name w:val="Colorful Grid"/>
    <w:basedOn w:val="TableNormal"/>
    <w:uiPriority w:val="99"/>
    <w:semiHidden/>
    <w:rsid w:val="00014566"/>
    <w:rPr>
      <w:color w:val="000000"/>
      <w:sz w:val="20"/>
      <w:szCs w:val="20"/>
      <w:lang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semiHidden/>
    <w:rsid w:val="00014566"/>
    <w:rPr>
      <w:color w:val="000000"/>
      <w:sz w:val="20"/>
      <w:szCs w:val="20"/>
      <w:lang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ColorfulGrid-Accent2">
    <w:name w:val="Colorful Grid Accent 2"/>
    <w:basedOn w:val="TableNormal"/>
    <w:uiPriority w:val="99"/>
    <w:semiHidden/>
    <w:rsid w:val="00014566"/>
    <w:rPr>
      <w:color w:val="000000"/>
      <w:sz w:val="20"/>
      <w:szCs w:val="20"/>
      <w:lang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ColorfulGrid-Accent3">
    <w:name w:val="Colorful Grid Accent 3"/>
    <w:basedOn w:val="TableNormal"/>
    <w:uiPriority w:val="99"/>
    <w:semiHidden/>
    <w:rsid w:val="00014566"/>
    <w:rPr>
      <w:color w:val="000000"/>
      <w:sz w:val="20"/>
      <w:szCs w:val="20"/>
      <w:lang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4">
    <w:name w:val="Colorful Grid Accent 4"/>
    <w:basedOn w:val="TableNormal"/>
    <w:uiPriority w:val="99"/>
    <w:semiHidden/>
    <w:rsid w:val="00014566"/>
    <w:rPr>
      <w:color w:val="000000"/>
      <w:sz w:val="20"/>
      <w:szCs w:val="20"/>
      <w:lang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ColorfulGrid-Accent5">
    <w:name w:val="Colorful Grid Accent 5"/>
    <w:basedOn w:val="TableNormal"/>
    <w:uiPriority w:val="99"/>
    <w:semiHidden/>
    <w:rsid w:val="00014566"/>
    <w:rPr>
      <w:color w:val="000000"/>
      <w:sz w:val="20"/>
      <w:szCs w:val="20"/>
      <w:lang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ColorfulGrid-Accent6">
    <w:name w:val="Colorful Grid Accent 6"/>
    <w:basedOn w:val="TableNormal"/>
    <w:uiPriority w:val="99"/>
    <w:semiHidden/>
    <w:rsid w:val="00014566"/>
    <w:rPr>
      <w:color w:val="000000"/>
      <w:sz w:val="20"/>
      <w:szCs w:val="20"/>
      <w:lang w:eastAsia="fr-FR"/>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ColorfulList">
    <w:name w:val="Colorful List"/>
    <w:basedOn w:val="TableNormal"/>
    <w:uiPriority w:val="99"/>
    <w:semiHidden/>
    <w:rsid w:val="00014566"/>
    <w:rPr>
      <w:color w:val="000000"/>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semiHidden/>
    <w:rsid w:val="00014566"/>
    <w:rPr>
      <w:color w:val="000000"/>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ColorfulList-Accent2">
    <w:name w:val="Colorful List Accent 2"/>
    <w:basedOn w:val="TableNormal"/>
    <w:uiPriority w:val="99"/>
    <w:semiHidden/>
    <w:rsid w:val="00014566"/>
    <w:rPr>
      <w:color w:val="000000"/>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ColorfulList-Accent3">
    <w:name w:val="Colorful List Accent 3"/>
    <w:basedOn w:val="TableNormal"/>
    <w:uiPriority w:val="99"/>
    <w:semiHidden/>
    <w:rsid w:val="00014566"/>
    <w:rPr>
      <w:color w:val="000000"/>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4">
    <w:name w:val="Colorful List Accent 4"/>
    <w:basedOn w:val="TableNormal"/>
    <w:uiPriority w:val="99"/>
    <w:semiHidden/>
    <w:rsid w:val="00014566"/>
    <w:rPr>
      <w:color w:val="000000"/>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ColorfulList-Accent5">
    <w:name w:val="Colorful List Accent 5"/>
    <w:basedOn w:val="TableNormal"/>
    <w:uiPriority w:val="99"/>
    <w:semiHidden/>
    <w:rsid w:val="00014566"/>
    <w:rPr>
      <w:color w:val="000000"/>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ColorfulList-Accent6">
    <w:name w:val="Colorful List Accent 6"/>
    <w:basedOn w:val="TableNormal"/>
    <w:uiPriority w:val="99"/>
    <w:semiHidden/>
    <w:rsid w:val="00014566"/>
    <w:rPr>
      <w:color w:val="000000"/>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ColorfulShading">
    <w:name w:val="Colorful Shading"/>
    <w:basedOn w:val="TableNormal"/>
    <w:uiPriority w:val="99"/>
    <w:semiHidden/>
    <w:rsid w:val="00014566"/>
    <w:rPr>
      <w:color w:val="000000"/>
      <w:sz w:val="20"/>
      <w:szCs w:val="20"/>
      <w:lang w:eastAsia="fr-FR"/>
    </w:rPr>
    <w:tblPr>
      <w:tblStyleRowBandSize w:val="1"/>
      <w:tblStyleColBandSize w:val="1"/>
      <w:tblInd w:w="0" w:type="dxa"/>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CellMar>
        <w:top w:w="0" w:type="dxa"/>
        <w:left w:w="108" w:type="dxa"/>
        <w:bottom w:w="0" w:type="dxa"/>
        <w:right w:w="108" w:type="dxa"/>
      </w:tblCellMar>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semiHidden/>
    <w:rsid w:val="00014566"/>
    <w:rPr>
      <w:color w:val="000000"/>
      <w:sz w:val="20"/>
      <w:szCs w:val="20"/>
      <w:lang w:eastAsia="fr-FR"/>
    </w:rPr>
    <w:tblPr>
      <w:tblStyleRowBandSize w:val="1"/>
      <w:tblStyleColBandSize w:val="1"/>
      <w:tblInd w:w="0" w:type="dxa"/>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semiHidden/>
    <w:rsid w:val="00014566"/>
    <w:rPr>
      <w:color w:val="000000"/>
      <w:sz w:val="20"/>
      <w:szCs w:val="20"/>
      <w:lang w:eastAsia="fr-FR"/>
    </w:rPr>
    <w:tblPr>
      <w:tblStyleRowBandSize w:val="1"/>
      <w:tblStyleColBandSize w:val="1"/>
      <w:tblInd w:w="0" w:type="dxa"/>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CellMar>
        <w:top w:w="0" w:type="dxa"/>
        <w:left w:w="108" w:type="dxa"/>
        <w:bottom w:w="0" w:type="dxa"/>
        <w:right w:w="108" w:type="dxa"/>
      </w:tblCellMar>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semiHidden/>
    <w:rsid w:val="00014566"/>
    <w:rPr>
      <w:color w:val="000000"/>
      <w:sz w:val="20"/>
      <w:szCs w:val="20"/>
      <w:lang w:eastAsia="fr-FR"/>
    </w:rPr>
    <w:tblPr>
      <w:tblStyleRowBandSize w:val="1"/>
      <w:tblStyleColBandSize w:val="1"/>
      <w:tblInd w:w="0" w:type="dxa"/>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ColorfulShading-Accent4">
    <w:name w:val="Colorful Shading Accent 4"/>
    <w:basedOn w:val="TableNormal"/>
    <w:uiPriority w:val="99"/>
    <w:semiHidden/>
    <w:rsid w:val="00014566"/>
    <w:rPr>
      <w:color w:val="000000"/>
      <w:sz w:val="20"/>
      <w:szCs w:val="20"/>
      <w:lang w:eastAsia="fr-FR"/>
    </w:rPr>
    <w:tblPr>
      <w:tblStyleRowBandSize w:val="1"/>
      <w:tblStyleColBandSize w:val="1"/>
      <w:tblInd w:w="0" w:type="dxa"/>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CellMar>
        <w:top w:w="0" w:type="dxa"/>
        <w:left w:w="108" w:type="dxa"/>
        <w:bottom w:w="0" w:type="dxa"/>
        <w:right w:w="108" w:type="dxa"/>
      </w:tblCellMar>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semiHidden/>
    <w:rsid w:val="00014566"/>
    <w:rPr>
      <w:color w:val="000000"/>
      <w:sz w:val="20"/>
      <w:szCs w:val="20"/>
      <w:lang w:eastAsia="fr-FR"/>
    </w:rPr>
    <w:tblPr>
      <w:tblStyleRowBandSize w:val="1"/>
      <w:tblStyleColBandSize w:val="1"/>
      <w:tblInd w:w="0" w:type="dxa"/>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semiHidden/>
    <w:rsid w:val="00014566"/>
    <w:rPr>
      <w:color w:val="000000"/>
      <w:sz w:val="20"/>
      <w:szCs w:val="20"/>
      <w:lang w:eastAsia="fr-FR"/>
    </w:rPr>
    <w:tblPr>
      <w:tblStyleRowBandSize w:val="1"/>
      <w:tblStyleColBandSize w:val="1"/>
      <w:tblInd w:w="0" w:type="dxa"/>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CellMar>
        <w:top w:w="0" w:type="dxa"/>
        <w:left w:w="108" w:type="dxa"/>
        <w:bottom w:w="0" w:type="dxa"/>
        <w:right w:w="108" w:type="dxa"/>
      </w:tblCellMar>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DarkList">
    <w:name w:val="Dark List"/>
    <w:basedOn w:val="TableNormal"/>
    <w:uiPriority w:val="99"/>
    <w:semiHidden/>
    <w:rsid w:val="00014566"/>
    <w:rPr>
      <w:color w:val="0072BC"/>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014566"/>
    <w:rPr>
      <w:color w:val="0072BC"/>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014566"/>
    <w:rPr>
      <w:color w:val="0072BC"/>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014566"/>
    <w:rPr>
      <w:color w:val="0072BC"/>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014566"/>
    <w:rPr>
      <w:color w:val="0072BC"/>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014566"/>
    <w:rPr>
      <w:color w:val="0072BC"/>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014566"/>
    <w:rPr>
      <w:color w:val="0072BC"/>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locked/>
    <w:rsid w:val="00014566"/>
    <w:rPr>
      <w:rFonts w:eastAsia="MS Mincho" w:cs="Times New Roman"/>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locked/>
    <w:rsid w:val="00014566"/>
    <w:rPr>
      <w:rFonts w:eastAsia="MS Mincho" w:cs="Times New Roman"/>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eastAsia="MS Gothic"/>
      <w:szCs w:val="24"/>
    </w:rPr>
  </w:style>
  <w:style w:type="paragraph" w:styleId="EnvelopeReturn">
    <w:name w:val="envelope return"/>
    <w:basedOn w:val="Normal"/>
    <w:uiPriority w:val="99"/>
    <w:semiHidden/>
    <w:rsid w:val="00014566"/>
    <w:rPr>
      <w:rFonts w:eastAsia="MS Gothic"/>
      <w:sz w:val="20"/>
      <w:szCs w:val="20"/>
    </w:rPr>
  </w:style>
  <w:style w:type="character" w:styleId="HTMLAcronym">
    <w:name w:val="HTML Acronym"/>
    <w:basedOn w:val="DefaultParagraphFont"/>
    <w:uiPriority w:val="99"/>
    <w:semiHidden/>
    <w:rsid w:val="00014566"/>
    <w:rPr>
      <w:rFonts w:cs="Times New Roman"/>
    </w:rPr>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locked/>
    <w:rsid w:val="00014566"/>
    <w:rPr>
      <w:rFonts w:eastAsia="MS Mincho" w:cs="Times New Roman"/>
      <w:i/>
      <w:iCs/>
      <w:sz w:val="24"/>
    </w:rPr>
  </w:style>
  <w:style w:type="character" w:styleId="HTMLCite">
    <w:name w:val="HTML Cite"/>
    <w:basedOn w:val="DefaultParagraphFont"/>
    <w:uiPriority w:val="99"/>
    <w:semiHidden/>
    <w:rsid w:val="00014566"/>
    <w:rPr>
      <w:rFonts w:cs="Times New Roman"/>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rFonts w:cs="Times New Roman"/>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014566"/>
    <w:rPr>
      <w:rFonts w:ascii="Consolas" w:eastAsia="MS Mincho"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rFonts w:cs="Times New Roman"/>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eastAsia="MS Gothic"/>
      <w:b/>
      <w:bCs/>
    </w:rPr>
  </w:style>
  <w:style w:type="table" w:styleId="LightGrid">
    <w:name w:val="Light Grid"/>
    <w:basedOn w:val="TableNormal"/>
    <w:uiPriority w:val="99"/>
    <w:semiHidden/>
    <w:rsid w:val="00014566"/>
    <w:rPr>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rsid w:val="00014566"/>
    <w:rPr>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014566"/>
    <w:rPr>
      <w:sz w:val="20"/>
      <w:szCs w:val="20"/>
      <w:lang w:eastAsia="fr-FR"/>
    </w:rPr>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014566"/>
    <w:rPr>
      <w:sz w:val="20"/>
      <w:szCs w:val="20"/>
      <w:lang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014566"/>
    <w:rPr>
      <w:sz w:val="20"/>
      <w:szCs w:val="20"/>
      <w:lang w:eastAsia="fr-FR"/>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014566"/>
    <w:rPr>
      <w:sz w:val="20"/>
      <w:szCs w:val="20"/>
      <w:lang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014566"/>
    <w:rPr>
      <w:sz w:val="20"/>
      <w:szCs w:val="20"/>
      <w:lang w:eastAsia="fr-FR"/>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99"/>
    <w:semiHidden/>
    <w:rsid w:val="00014566"/>
    <w:rPr>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rsid w:val="00014566"/>
    <w:rPr>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014566"/>
    <w:rPr>
      <w:sz w:val="20"/>
      <w:szCs w:val="20"/>
      <w:lang w:eastAsia="fr-FR"/>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014566"/>
    <w:rPr>
      <w:sz w:val="20"/>
      <w:szCs w:val="20"/>
      <w:lang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014566"/>
    <w:rPr>
      <w:sz w:val="20"/>
      <w:szCs w:val="20"/>
      <w:lang w:eastAsia="fr-FR"/>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014566"/>
    <w:rPr>
      <w:sz w:val="20"/>
      <w:szCs w:val="20"/>
      <w:lang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014566"/>
    <w:rPr>
      <w:sz w:val="20"/>
      <w:szCs w:val="20"/>
      <w:lang w:eastAsia="fr-FR"/>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99"/>
    <w:semiHidden/>
    <w:rsid w:val="00014566"/>
    <w:rPr>
      <w:color w:val="000000"/>
      <w:sz w:val="20"/>
      <w:szCs w:val="2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rsid w:val="00014566"/>
    <w:rPr>
      <w:color w:val="00548C"/>
      <w:sz w:val="20"/>
      <w:szCs w:val="20"/>
      <w:lang w:eastAsia="fr-FR"/>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014566"/>
    <w:rPr>
      <w:color w:val="8F0000"/>
      <w:sz w:val="20"/>
      <w:szCs w:val="20"/>
      <w:lang w:eastAsia="fr-FR"/>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014566"/>
    <w:rPr>
      <w:color w:val="474747"/>
      <w:sz w:val="20"/>
      <w:szCs w:val="20"/>
      <w:lang w:eastAsia="fr-FR"/>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014566"/>
    <w:rPr>
      <w:color w:val="707070"/>
      <w:sz w:val="20"/>
      <w:szCs w:val="20"/>
      <w:lang w:eastAsia="fr-FR"/>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014566"/>
    <w:rPr>
      <w:color w:val="474747"/>
      <w:sz w:val="20"/>
      <w:szCs w:val="20"/>
      <w:lang w:eastAsia="fr-FR"/>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014566"/>
    <w:rPr>
      <w:color w:val="393939"/>
      <w:sz w:val="20"/>
      <w:szCs w:val="20"/>
      <w:lang w:eastAsia="fr-FR"/>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LineNumber">
    <w:name w:val="line number"/>
    <w:basedOn w:val="DefaultParagraphFont"/>
    <w:uiPriority w:val="99"/>
    <w:semiHidden/>
    <w:rsid w:val="00014566"/>
    <w:rPr>
      <w:rFonts w:cs="Times New Roman"/>
    </w:rPr>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15"/>
      </w:numPr>
      <w:contextualSpacing/>
    </w:pPr>
  </w:style>
  <w:style w:type="paragraph" w:styleId="ListBullet3">
    <w:name w:val="List Bullet 3"/>
    <w:basedOn w:val="Normal"/>
    <w:uiPriority w:val="99"/>
    <w:semiHidden/>
    <w:rsid w:val="00014566"/>
    <w:pPr>
      <w:numPr>
        <w:numId w:val="16"/>
      </w:numPr>
      <w:contextualSpacing/>
    </w:pPr>
  </w:style>
  <w:style w:type="paragraph" w:styleId="ListBullet4">
    <w:name w:val="List Bullet 4"/>
    <w:basedOn w:val="Normal"/>
    <w:uiPriority w:val="99"/>
    <w:semiHidden/>
    <w:rsid w:val="00014566"/>
    <w:pPr>
      <w:numPr>
        <w:numId w:val="17"/>
      </w:numPr>
      <w:contextualSpacing/>
    </w:pPr>
  </w:style>
  <w:style w:type="paragraph" w:styleId="ListBullet5">
    <w:name w:val="List Bullet 5"/>
    <w:basedOn w:val="Normal"/>
    <w:uiPriority w:val="99"/>
    <w:semiHidden/>
    <w:rsid w:val="00014566"/>
    <w:pPr>
      <w:numPr>
        <w:numId w:val="1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19"/>
      </w:numPr>
      <w:contextualSpacing/>
    </w:pPr>
  </w:style>
  <w:style w:type="paragraph" w:styleId="ListNumber2">
    <w:name w:val="List Number 2"/>
    <w:basedOn w:val="Normal"/>
    <w:uiPriority w:val="99"/>
    <w:semiHidden/>
    <w:rsid w:val="00014566"/>
    <w:pPr>
      <w:numPr>
        <w:numId w:val="20"/>
      </w:numPr>
      <w:contextualSpacing/>
    </w:pPr>
  </w:style>
  <w:style w:type="paragraph" w:styleId="ListNumber3">
    <w:name w:val="List Number 3"/>
    <w:basedOn w:val="Normal"/>
    <w:uiPriority w:val="99"/>
    <w:semiHidden/>
    <w:rsid w:val="00014566"/>
    <w:pPr>
      <w:numPr>
        <w:numId w:val="21"/>
      </w:numPr>
      <w:contextualSpacing/>
    </w:pPr>
  </w:style>
  <w:style w:type="paragraph" w:styleId="ListNumber4">
    <w:name w:val="List Number 4"/>
    <w:basedOn w:val="Normal"/>
    <w:uiPriority w:val="99"/>
    <w:semiHidden/>
    <w:rsid w:val="00014566"/>
    <w:pPr>
      <w:numPr>
        <w:numId w:val="22"/>
      </w:numPr>
      <w:contextualSpacing/>
    </w:pPr>
  </w:style>
  <w:style w:type="paragraph" w:styleId="ListNumber5">
    <w:name w:val="List Number 5"/>
    <w:basedOn w:val="Normal"/>
    <w:uiPriority w:val="99"/>
    <w:semiHidden/>
    <w:rsid w:val="00014566"/>
    <w:pPr>
      <w:numPr>
        <w:numId w:val="2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eastAsia="fr-FR"/>
    </w:rPr>
  </w:style>
  <w:style w:type="character" w:customStyle="1" w:styleId="MacroTextChar">
    <w:name w:val="Macro Text Char"/>
    <w:basedOn w:val="DefaultParagraphFont"/>
    <w:link w:val="MacroText"/>
    <w:uiPriority w:val="99"/>
    <w:semiHidden/>
    <w:locked/>
    <w:rsid w:val="00014566"/>
    <w:rPr>
      <w:rFonts w:ascii="Consolas" w:hAnsi="Consolas" w:cs="Consolas"/>
      <w:lang w:val="ru-RU" w:eastAsia="fr-FR" w:bidi="ar-SA"/>
    </w:rPr>
  </w:style>
  <w:style w:type="table" w:styleId="MediumGrid1">
    <w:name w:val="Medium Grid 1"/>
    <w:basedOn w:val="TableNormal"/>
    <w:uiPriority w:val="99"/>
    <w:semiHidden/>
    <w:rsid w:val="00014566"/>
    <w:rPr>
      <w:sz w:val="20"/>
      <w:szCs w:val="20"/>
      <w:lang w:eastAsia="fr-F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semiHidden/>
    <w:rsid w:val="00014566"/>
    <w:rPr>
      <w:sz w:val="20"/>
      <w:szCs w:val="20"/>
      <w:lang w:eastAsia="fr-FR"/>
    </w:rPr>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CellMar>
        <w:top w:w="0" w:type="dxa"/>
        <w:left w:w="108" w:type="dxa"/>
        <w:bottom w:w="0" w:type="dxa"/>
        <w:right w:w="108" w:type="dxa"/>
      </w:tblCellMar>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MediumGrid1-Accent2">
    <w:name w:val="Medium Grid 1 Accent 2"/>
    <w:basedOn w:val="TableNormal"/>
    <w:uiPriority w:val="99"/>
    <w:semiHidden/>
    <w:rsid w:val="00014566"/>
    <w:rPr>
      <w:sz w:val="20"/>
      <w:szCs w:val="20"/>
      <w:lang w:eastAsia="fr-FR"/>
    </w:rPr>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CellMar>
        <w:top w:w="0" w:type="dxa"/>
        <w:left w:w="108" w:type="dxa"/>
        <w:bottom w:w="0" w:type="dxa"/>
        <w:right w:w="108" w:type="dxa"/>
      </w:tblCellMar>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MediumGrid1-Accent3">
    <w:name w:val="Medium Grid 1 Accent 3"/>
    <w:basedOn w:val="TableNormal"/>
    <w:uiPriority w:val="99"/>
    <w:semiHidden/>
    <w:rsid w:val="00014566"/>
    <w:rPr>
      <w:sz w:val="20"/>
      <w:szCs w:val="20"/>
      <w:lang w:eastAsia="fr-FR"/>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4">
    <w:name w:val="Medium Grid 1 Accent 4"/>
    <w:basedOn w:val="TableNormal"/>
    <w:uiPriority w:val="99"/>
    <w:semiHidden/>
    <w:rsid w:val="00014566"/>
    <w:rPr>
      <w:sz w:val="20"/>
      <w:szCs w:val="20"/>
      <w:lang w:eastAsia="fr-FR"/>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MediumGrid1-Accent5">
    <w:name w:val="Medium Grid 1 Accent 5"/>
    <w:basedOn w:val="TableNormal"/>
    <w:uiPriority w:val="99"/>
    <w:semiHidden/>
    <w:rsid w:val="00014566"/>
    <w:rPr>
      <w:sz w:val="20"/>
      <w:szCs w:val="20"/>
      <w:lang w:eastAsia="fr-FR"/>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MediumGrid1-Accent6">
    <w:name w:val="Medium Grid 1 Accent 6"/>
    <w:basedOn w:val="TableNormal"/>
    <w:uiPriority w:val="99"/>
    <w:semiHidden/>
    <w:rsid w:val="00014566"/>
    <w:rPr>
      <w:sz w:val="20"/>
      <w:szCs w:val="20"/>
      <w:lang w:eastAsia="fr-FR"/>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MediumGrid2">
    <w:name w:val="Medium Grid 2"/>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MediumGrid2-Accent1">
    <w:name w:val="Medium Grid 2 Accent 1"/>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MediumGrid2-Accent2">
    <w:name w:val="Medium Grid 2 Accent 2"/>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MediumGrid2-Accent3">
    <w:name w:val="Medium Grid 2 Accent 3"/>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4">
    <w:name w:val="Medium Grid 2 Accent 4"/>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MediumGrid2-Accent5">
    <w:name w:val="Medium Grid 2 Accent 5"/>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MediumGrid2-Accent6">
    <w:name w:val="Medium Grid 2 Accent 6"/>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MediumGrid3">
    <w:name w:val="Medium Grid 3"/>
    <w:basedOn w:val="TableNormal"/>
    <w:uiPriority w:val="99"/>
    <w:semiHidden/>
    <w:rsid w:val="00014566"/>
    <w:rPr>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014566"/>
    <w:rPr>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014566"/>
    <w:rPr>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014566"/>
    <w:rPr>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014566"/>
    <w:rPr>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014566"/>
    <w:rPr>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014566"/>
    <w:rPr>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99"/>
    <w:semiHidden/>
    <w:rsid w:val="00014566"/>
    <w:rPr>
      <w:color w:val="000000"/>
      <w:sz w:val="20"/>
      <w:szCs w:val="20"/>
      <w:lang w:eastAsia="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semiHidden/>
    <w:rsid w:val="00014566"/>
    <w:rPr>
      <w:color w:val="000000"/>
      <w:sz w:val="20"/>
      <w:szCs w:val="20"/>
      <w:lang w:eastAsia="fr-FR"/>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MediumList1-Accent2">
    <w:name w:val="Medium List 1 Accent 2"/>
    <w:basedOn w:val="TableNormal"/>
    <w:uiPriority w:val="99"/>
    <w:semiHidden/>
    <w:rsid w:val="00014566"/>
    <w:rPr>
      <w:color w:val="000000"/>
      <w:sz w:val="20"/>
      <w:szCs w:val="20"/>
      <w:lang w:eastAsia="fr-FR"/>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MediumList1-Accent3">
    <w:name w:val="Medium List 1 Accent 3"/>
    <w:basedOn w:val="TableNormal"/>
    <w:uiPriority w:val="99"/>
    <w:semiHidden/>
    <w:rsid w:val="00014566"/>
    <w:rPr>
      <w:color w:val="000000"/>
      <w:sz w:val="20"/>
      <w:szCs w:val="20"/>
      <w:lang w:eastAsia="fr-FR"/>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4">
    <w:name w:val="Medium List 1 Accent 4"/>
    <w:basedOn w:val="TableNormal"/>
    <w:uiPriority w:val="99"/>
    <w:semiHidden/>
    <w:rsid w:val="00014566"/>
    <w:rPr>
      <w:color w:val="000000"/>
      <w:sz w:val="20"/>
      <w:szCs w:val="20"/>
      <w:lang w:eastAsia="fr-FR"/>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MediumList1-Accent5">
    <w:name w:val="Medium List 1 Accent 5"/>
    <w:basedOn w:val="TableNormal"/>
    <w:uiPriority w:val="99"/>
    <w:semiHidden/>
    <w:rsid w:val="00014566"/>
    <w:rPr>
      <w:color w:val="000000"/>
      <w:sz w:val="20"/>
      <w:szCs w:val="20"/>
      <w:lang w:eastAsia="fr-FR"/>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MediumList1-Accent6">
    <w:name w:val="Medium List 1 Accent 6"/>
    <w:basedOn w:val="TableNormal"/>
    <w:uiPriority w:val="99"/>
    <w:semiHidden/>
    <w:rsid w:val="00014566"/>
    <w:rPr>
      <w:color w:val="000000"/>
      <w:sz w:val="20"/>
      <w:szCs w:val="20"/>
      <w:lang w:eastAsia="fr-FR"/>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MediumList2">
    <w:name w:val="Medium List 2"/>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1">
    <w:name w:val="Medium List 2 Accent 1"/>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2">
    <w:name w:val="Medium List 2 Accent 2"/>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3">
    <w:name w:val="Medium List 2 Accent 3"/>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4">
    <w:name w:val="Medium List 2 Accent 4"/>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5">
    <w:name w:val="Medium List 2 Accent 5"/>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List2-Accent6">
    <w:name w:val="Medium List 2 Accent 6"/>
    <w:basedOn w:val="TableNormal"/>
    <w:uiPriority w:val="99"/>
    <w:semiHidden/>
    <w:rsid w:val="00014566"/>
    <w:rPr>
      <w:rFonts w:eastAsia="MS Gothic"/>
      <w:color w:val="000000"/>
      <w:sz w:val="20"/>
      <w:szCs w:val="20"/>
      <w:lang w:eastAsia="fr-FR"/>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MediumShading1">
    <w:name w:val="Medium Shading 1"/>
    <w:basedOn w:val="TableNormal"/>
    <w:uiPriority w:val="99"/>
    <w:semiHidden/>
    <w:rsid w:val="00014566"/>
    <w:rPr>
      <w:sz w:val="20"/>
      <w:szCs w:val="20"/>
      <w:lang w:eastAsia="fr-F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semiHidden/>
    <w:rsid w:val="00014566"/>
    <w:rPr>
      <w:sz w:val="20"/>
      <w:szCs w:val="20"/>
      <w:lang w:eastAsia="fr-FR"/>
    </w:rPr>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semiHidden/>
    <w:rsid w:val="00014566"/>
    <w:rPr>
      <w:sz w:val="20"/>
      <w:szCs w:val="20"/>
      <w:lang w:eastAsia="fr-FR"/>
    </w:rPr>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semiHidden/>
    <w:rsid w:val="00014566"/>
    <w:rPr>
      <w:sz w:val="20"/>
      <w:szCs w:val="20"/>
      <w:lang w:eastAsia="fr-FR"/>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semiHidden/>
    <w:rsid w:val="00014566"/>
    <w:rPr>
      <w:sz w:val="20"/>
      <w:szCs w:val="20"/>
      <w:lang w:eastAsia="fr-FR"/>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semiHidden/>
    <w:rsid w:val="00014566"/>
    <w:rPr>
      <w:sz w:val="20"/>
      <w:szCs w:val="20"/>
      <w:lang w:eastAsia="fr-FR"/>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semiHidden/>
    <w:rsid w:val="00014566"/>
    <w:rPr>
      <w:sz w:val="20"/>
      <w:szCs w:val="20"/>
      <w:lang w:eastAsia="fr-FR"/>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semiHidden/>
    <w:rsid w:val="00014566"/>
    <w:rPr>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sz w:val="20"/>
      <w:szCs w:val="20"/>
      <w:lang w:eastAsia="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MessageHeaderChar">
    <w:name w:val="Message Header Char"/>
    <w:basedOn w:val="DefaultParagraphFont"/>
    <w:link w:val="MessageHeader"/>
    <w:uiPriority w:val="99"/>
    <w:semiHidden/>
    <w:locked/>
    <w:rsid w:val="00014566"/>
    <w:rPr>
      <w:rFonts w:ascii="Times New Roman" w:eastAsia="MS Gothic" w:hAnsi="Times New Roman" w:cs="Times New Roman"/>
      <w:sz w:val="24"/>
      <w:szCs w:val="24"/>
      <w:shd w:val="pct20" w:color="auto" w:fill="auto"/>
    </w:rPr>
  </w:style>
  <w:style w:type="paragraph" w:styleId="NormalWeb">
    <w:name w:val="Normal (Web)"/>
    <w:basedOn w:val="Normal"/>
    <w:uiPriority w:val="99"/>
    <w:semiHidden/>
    <w:rsid w:val="00014566"/>
    <w:rPr>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locked/>
    <w:rsid w:val="00014566"/>
    <w:rPr>
      <w:rFonts w:eastAsia="MS Mincho" w:cs="Times New Roman"/>
      <w:sz w:val="24"/>
    </w:rPr>
  </w:style>
  <w:style w:type="character" w:styleId="PlaceholderText">
    <w:name w:val="Placeholder Text"/>
    <w:basedOn w:val="DefaultParagraphFont"/>
    <w:uiPriority w:val="99"/>
    <w:semiHidden/>
    <w:rsid w:val="00014566"/>
    <w:rPr>
      <w:rFonts w:cs="Times New Roman"/>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014566"/>
    <w:rPr>
      <w:rFonts w:ascii="Consolas" w:eastAsia="MS Mincho"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locked/>
    <w:rsid w:val="00014566"/>
    <w:rPr>
      <w:rFonts w:eastAsia="MS Mincho" w:cs="Times New Roman"/>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locked/>
    <w:rsid w:val="00014566"/>
    <w:rPr>
      <w:rFonts w:eastAsia="MS Mincho" w:cs="Times New Roman"/>
      <w:sz w:val="24"/>
    </w:rPr>
  </w:style>
  <w:style w:type="table" w:styleId="Table3Deffects1">
    <w:name w:val="Table 3D effects 1"/>
    <w:basedOn w:val="TableNormal"/>
    <w:uiPriority w:val="99"/>
    <w:semiHidden/>
    <w:rsid w:val="00014566"/>
    <w:pPr>
      <w:suppressAutoHyphens/>
    </w:pPr>
    <w:rPr>
      <w:sz w:val="20"/>
      <w:szCs w:val="20"/>
      <w:lang w:eastAsia="fr-FR"/>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sz w:val="20"/>
      <w:szCs w:val="20"/>
      <w:lang w:eastAsia="fr-FR"/>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sz w:val="20"/>
      <w:szCs w:val="20"/>
      <w:lang w:eastAsia="fr-F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sz w:val="20"/>
      <w:szCs w:val="20"/>
      <w:lang w:eastAsia="fr-F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sz w:val="20"/>
      <w:szCs w:val="20"/>
      <w:lang w:eastAsia="fr-F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sz w:val="20"/>
      <w:szCs w:val="20"/>
      <w:lang w:eastAsia="fr-F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sz w:val="20"/>
      <w:szCs w:val="20"/>
      <w:lang w:eastAsia="fr-F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sz w:val="20"/>
      <w:szCs w:val="20"/>
      <w:lang w:eastAsia="fr-F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sz w:val="20"/>
      <w:szCs w:val="20"/>
      <w:lang w:eastAsia="fr-FR"/>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sz w:val="20"/>
      <w:szCs w:val="20"/>
      <w:lang w:eastAsia="fr-F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sz w:val="20"/>
      <w:szCs w:val="20"/>
      <w:lang w:eastAsia="fr-FR"/>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014566"/>
    <w:pPr>
      <w:suppressAutoHyphens/>
    </w:pPr>
    <w:rPr>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014566"/>
    <w:pPr>
      <w:suppressAutoHyphens/>
    </w:pPr>
    <w:rPr>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sz w:val="20"/>
      <w:szCs w:val="20"/>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sz w:val="20"/>
      <w:szCs w:val="20"/>
      <w:lang w:eastAsia="fr-F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sz w:val="20"/>
      <w:szCs w:val="20"/>
      <w:lang w:eastAsia="fr-F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sz w:val="20"/>
      <w:szCs w:val="20"/>
      <w:lang w:eastAsia="fr-F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sz w:val="20"/>
      <w:szCs w:val="20"/>
      <w:lang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sz w:val="20"/>
      <w:szCs w:val="20"/>
      <w:lang w:eastAsia="fr-F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sz w:val="20"/>
      <w:szCs w:val="20"/>
      <w:lang w:eastAsia="fr-FR"/>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sz w:val="20"/>
      <w:szCs w:val="20"/>
      <w:lang w:eastAsia="fr-F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sz w:val="20"/>
      <w:szCs w:val="20"/>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sz w:val="20"/>
      <w:szCs w:val="20"/>
      <w:lang w:eastAsia="fr-F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sz w:val="20"/>
      <w:szCs w:val="20"/>
      <w:lang w:eastAsia="fr-F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sz w:val="20"/>
      <w:szCs w:val="20"/>
      <w:lang w:eastAsia="fr-F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sz w:val="20"/>
      <w:szCs w:val="20"/>
      <w:lang w:eastAsia="fr-F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sz w:val="20"/>
      <w:szCs w:val="20"/>
      <w:lang w:eastAsia="fr-F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sz w:val="20"/>
      <w:szCs w:val="20"/>
      <w:lang w:eastAsia="fr-FR"/>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sz w:val="20"/>
      <w:szCs w:val="20"/>
      <w:lang w:eastAsia="fr-FR"/>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sz w:val="20"/>
      <w:szCs w:val="20"/>
      <w:lang w:eastAsia="fr-F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014566"/>
    <w:pPr>
      <w:suppressAutoHyphens/>
    </w:pPr>
    <w:rPr>
      <w:sz w:val="20"/>
      <w:szCs w:val="20"/>
      <w:lang w:eastAsia="fr-F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sz w:val="20"/>
      <w:szCs w:val="20"/>
      <w:lang w:eastAsia="fr-F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sz w:val="20"/>
      <w:szCs w:val="20"/>
      <w:lang w:eastAsia="fr-F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Lista">
    <w:name w:val="Ju_List_a"/>
    <w:basedOn w:val="JuList"/>
    <w:uiPriority w:val="99"/>
    <w:rsid w:val="00125888"/>
    <w:pPr>
      <w:ind w:left="346" w:firstLine="0"/>
    </w:pPr>
  </w:style>
  <w:style w:type="paragraph" w:customStyle="1" w:styleId="JuListi">
    <w:name w:val="Ju_List_i"/>
    <w:basedOn w:val="Normal"/>
    <w:next w:val="JuLista"/>
    <w:uiPriority w:val="99"/>
    <w:rsid w:val="00125888"/>
    <w:pPr>
      <w:ind w:left="794"/>
    </w:pPr>
  </w:style>
  <w:style w:type="paragraph" w:customStyle="1" w:styleId="OpiH1">
    <w:name w:val="Opi_H_1"/>
    <w:basedOn w:val="ECHRHeading2"/>
    <w:uiPriority w:val="99"/>
    <w:rsid w:val="00125888"/>
    <w:pPr>
      <w:ind w:left="635" w:hanging="357"/>
      <w:outlineLvl w:val="2"/>
    </w:pPr>
  </w:style>
  <w:style w:type="paragraph" w:customStyle="1" w:styleId="OpiHa0">
    <w:name w:val="Opi_H_a"/>
    <w:basedOn w:val="ECHRHeading3"/>
    <w:uiPriority w:val="99"/>
    <w:rsid w:val="00125888"/>
    <w:pPr>
      <w:ind w:left="833" w:hanging="357"/>
      <w:outlineLvl w:val="3"/>
    </w:pPr>
    <w:rPr>
      <w:b/>
      <w:i w:val="0"/>
      <w:sz w:val="20"/>
    </w:rPr>
  </w:style>
  <w:style w:type="paragraph" w:customStyle="1" w:styleId="OpiHi">
    <w:name w:val="Opi_H_i"/>
    <w:basedOn w:val="ECHRHeading4"/>
    <w:uiPriority w:val="99"/>
    <w:rsid w:val="00125888"/>
    <w:pPr>
      <w:ind w:left="1037" w:hanging="357"/>
      <w:outlineLvl w:val="4"/>
    </w:pPr>
    <w:rPr>
      <w:b w:val="0"/>
      <w:i/>
    </w:rPr>
  </w:style>
  <w:style w:type="paragraph" w:customStyle="1" w:styleId="DummyStyle">
    <w:name w:val="Dummy_Style"/>
    <w:basedOn w:val="Normal"/>
    <w:uiPriority w:val="99"/>
    <w:semiHidden/>
    <w:rsid w:val="00125888"/>
    <w:rPr>
      <w:color w:val="00B050"/>
    </w:rPr>
  </w:style>
  <w:style w:type="character" w:customStyle="1" w:styleId="ECHRParaChar">
    <w:name w:val="ECHR_Para Char"/>
    <w:aliases w:val="Ju_Para Char"/>
    <w:link w:val="ECHRPara"/>
    <w:uiPriority w:val="99"/>
    <w:locked/>
    <w:rsid w:val="00F647C9"/>
    <w:rPr>
      <w:rFonts w:eastAsia="MS Mincho"/>
      <w:sz w:val="24"/>
    </w:rPr>
  </w:style>
  <w:style w:type="character" w:customStyle="1" w:styleId="JuParaCar">
    <w:name w:val="Ju_Para Car"/>
    <w:uiPriority w:val="99"/>
    <w:rsid w:val="002B4EF5"/>
    <w:rPr>
      <w:rFonts w:eastAsia="MS Mincho"/>
      <w:sz w:val="24"/>
    </w:rPr>
  </w:style>
  <w:style w:type="numbering" w:styleId="1ai">
    <w:name w:val="Outline List 1"/>
    <w:basedOn w:val="NoList"/>
    <w:uiPriority w:val="99"/>
    <w:semiHidden/>
    <w:unhideWhenUsed/>
    <w:rsid w:val="000C0D53"/>
    <w:pPr>
      <w:numPr>
        <w:numId w:val="13"/>
      </w:numPr>
    </w:pPr>
  </w:style>
  <w:style w:type="numbering" w:styleId="111111">
    <w:name w:val="Outline List 2"/>
    <w:basedOn w:val="NoList"/>
    <w:uiPriority w:val="99"/>
    <w:semiHidden/>
    <w:unhideWhenUsed/>
    <w:rsid w:val="000C0D53"/>
    <w:pPr>
      <w:numPr>
        <w:numId w:val="12"/>
      </w:numPr>
    </w:pPr>
  </w:style>
  <w:style w:type="numbering" w:styleId="ArticleSection">
    <w:name w:val="Outline List 3"/>
    <w:basedOn w:val="NoList"/>
    <w:uiPriority w:val="99"/>
    <w:semiHidden/>
    <w:unhideWhenUsed/>
    <w:rsid w:val="000C0D53"/>
    <w:pPr>
      <w:numPr>
        <w:numId w:val="14"/>
      </w:numPr>
    </w:pPr>
  </w:style>
</w:styles>
</file>

<file path=word/webSettings.xml><?xml version="1.0" encoding="utf-8"?>
<w:webSettings xmlns:r="http://schemas.openxmlformats.org/officeDocument/2006/relationships" xmlns:w="http://schemas.openxmlformats.org/wordprocessingml/2006/main">
  <w:divs>
    <w:div w:id="960575742">
      <w:marLeft w:val="0"/>
      <w:marRight w:val="0"/>
      <w:marTop w:val="0"/>
      <w:marBottom w:val="0"/>
      <w:divBdr>
        <w:top w:val="none" w:sz="0" w:space="0" w:color="auto"/>
        <w:left w:val="none" w:sz="0" w:space="0" w:color="auto"/>
        <w:bottom w:val="none" w:sz="0" w:space="0" w:color="auto"/>
        <w:right w:val="none" w:sz="0" w:space="0" w:color="auto"/>
      </w:divBdr>
    </w:div>
    <w:div w:id="960575743">
      <w:marLeft w:val="0"/>
      <w:marRight w:val="0"/>
      <w:marTop w:val="0"/>
      <w:marBottom w:val="0"/>
      <w:divBdr>
        <w:top w:val="none" w:sz="0" w:space="0" w:color="auto"/>
        <w:left w:val="none" w:sz="0" w:space="0" w:color="auto"/>
        <w:bottom w:val="none" w:sz="0" w:space="0" w:color="auto"/>
        <w:right w:val="none" w:sz="0" w:space="0" w:color="auto"/>
      </w:divBdr>
    </w:div>
    <w:div w:id="960575745">
      <w:marLeft w:val="0"/>
      <w:marRight w:val="0"/>
      <w:marTop w:val="0"/>
      <w:marBottom w:val="0"/>
      <w:divBdr>
        <w:top w:val="none" w:sz="0" w:space="0" w:color="auto"/>
        <w:left w:val="none" w:sz="0" w:space="0" w:color="auto"/>
        <w:bottom w:val="none" w:sz="0" w:space="0" w:color="auto"/>
        <w:right w:val="none" w:sz="0" w:space="0" w:color="auto"/>
      </w:divBdr>
      <w:divsChild>
        <w:div w:id="960575805">
          <w:marLeft w:val="0"/>
          <w:marRight w:val="0"/>
          <w:marTop w:val="0"/>
          <w:marBottom w:val="0"/>
          <w:divBdr>
            <w:top w:val="none" w:sz="0" w:space="0" w:color="auto"/>
            <w:left w:val="none" w:sz="0" w:space="0" w:color="auto"/>
            <w:bottom w:val="none" w:sz="0" w:space="0" w:color="auto"/>
            <w:right w:val="none" w:sz="0" w:space="0" w:color="auto"/>
          </w:divBdr>
          <w:divsChild>
            <w:div w:id="960575780">
              <w:marLeft w:val="0"/>
              <w:marRight w:val="0"/>
              <w:marTop w:val="0"/>
              <w:marBottom w:val="0"/>
              <w:divBdr>
                <w:top w:val="none" w:sz="0" w:space="0" w:color="auto"/>
                <w:left w:val="none" w:sz="0" w:space="0" w:color="auto"/>
                <w:bottom w:val="none" w:sz="0" w:space="0" w:color="auto"/>
                <w:right w:val="none" w:sz="0" w:space="0" w:color="auto"/>
              </w:divBdr>
              <w:divsChild>
                <w:div w:id="960575816">
                  <w:marLeft w:val="0"/>
                  <w:marRight w:val="0"/>
                  <w:marTop w:val="0"/>
                  <w:marBottom w:val="0"/>
                  <w:divBdr>
                    <w:top w:val="none" w:sz="0" w:space="0" w:color="auto"/>
                    <w:left w:val="none" w:sz="0" w:space="0" w:color="auto"/>
                    <w:bottom w:val="none" w:sz="0" w:space="0" w:color="auto"/>
                    <w:right w:val="none" w:sz="0" w:space="0" w:color="auto"/>
                  </w:divBdr>
                  <w:divsChild>
                    <w:div w:id="960575756">
                      <w:marLeft w:val="0"/>
                      <w:marRight w:val="0"/>
                      <w:marTop w:val="0"/>
                      <w:marBottom w:val="0"/>
                      <w:divBdr>
                        <w:top w:val="none" w:sz="0" w:space="0" w:color="auto"/>
                        <w:left w:val="none" w:sz="0" w:space="0" w:color="auto"/>
                        <w:bottom w:val="none" w:sz="0" w:space="0" w:color="auto"/>
                        <w:right w:val="none" w:sz="0" w:space="0" w:color="auto"/>
                      </w:divBdr>
                      <w:divsChild>
                        <w:div w:id="960575800">
                          <w:marLeft w:val="0"/>
                          <w:marRight w:val="0"/>
                          <w:marTop w:val="0"/>
                          <w:marBottom w:val="0"/>
                          <w:divBdr>
                            <w:top w:val="none" w:sz="0" w:space="0" w:color="auto"/>
                            <w:left w:val="none" w:sz="0" w:space="0" w:color="auto"/>
                            <w:bottom w:val="none" w:sz="0" w:space="0" w:color="auto"/>
                            <w:right w:val="none" w:sz="0" w:space="0" w:color="auto"/>
                          </w:divBdr>
                          <w:divsChild>
                            <w:div w:id="960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748">
      <w:marLeft w:val="0"/>
      <w:marRight w:val="0"/>
      <w:marTop w:val="0"/>
      <w:marBottom w:val="0"/>
      <w:divBdr>
        <w:top w:val="none" w:sz="0" w:space="0" w:color="auto"/>
        <w:left w:val="none" w:sz="0" w:space="0" w:color="auto"/>
        <w:bottom w:val="none" w:sz="0" w:space="0" w:color="auto"/>
        <w:right w:val="none" w:sz="0" w:space="0" w:color="auto"/>
      </w:divBdr>
      <w:divsChild>
        <w:div w:id="960575758">
          <w:marLeft w:val="0"/>
          <w:marRight w:val="0"/>
          <w:marTop w:val="0"/>
          <w:marBottom w:val="0"/>
          <w:divBdr>
            <w:top w:val="none" w:sz="0" w:space="0" w:color="auto"/>
            <w:left w:val="none" w:sz="0" w:space="0" w:color="auto"/>
            <w:bottom w:val="none" w:sz="0" w:space="0" w:color="auto"/>
            <w:right w:val="none" w:sz="0" w:space="0" w:color="auto"/>
          </w:divBdr>
          <w:divsChild>
            <w:div w:id="960575751">
              <w:marLeft w:val="0"/>
              <w:marRight w:val="0"/>
              <w:marTop w:val="0"/>
              <w:marBottom w:val="0"/>
              <w:divBdr>
                <w:top w:val="none" w:sz="0" w:space="0" w:color="auto"/>
                <w:left w:val="none" w:sz="0" w:space="0" w:color="auto"/>
                <w:bottom w:val="none" w:sz="0" w:space="0" w:color="auto"/>
                <w:right w:val="none" w:sz="0" w:space="0" w:color="auto"/>
              </w:divBdr>
              <w:divsChild>
                <w:div w:id="960575838">
                  <w:marLeft w:val="0"/>
                  <w:marRight w:val="0"/>
                  <w:marTop w:val="0"/>
                  <w:marBottom w:val="0"/>
                  <w:divBdr>
                    <w:top w:val="none" w:sz="0" w:space="0" w:color="auto"/>
                    <w:left w:val="none" w:sz="0" w:space="0" w:color="auto"/>
                    <w:bottom w:val="none" w:sz="0" w:space="0" w:color="auto"/>
                    <w:right w:val="none" w:sz="0" w:space="0" w:color="auto"/>
                  </w:divBdr>
                  <w:divsChild>
                    <w:div w:id="960575777">
                      <w:marLeft w:val="0"/>
                      <w:marRight w:val="0"/>
                      <w:marTop w:val="0"/>
                      <w:marBottom w:val="0"/>
                      <w:divBdr>
                        <w:top w:val="none" w:sz="0" w:space="0" w:color="auto"/>
                        <w:left w:val="none" w:sz="0" w:space="0" w:color="auto"/>
                        <w:bottom w:val="none" w:sz="0" w:space="0" w:color="auto"/>
                        <w:right w:val="none" w:sz="0" w:space="0" w:color="auto"/>
                      </w:divBdr>
                      <w:divsChild>
                        <w:div w:id="960575849">
                          <w:marLeft w:val="0"/>
                          <w:marRight w:val="0"/>
                          <w:marTop w:val="0"/>
                          <w:marBottom w:val="0"/>
                          <w:divBdr>
                            <w:top w:val="none" w:sz="0" w:space="0" w:color="auto"/>
                            <w:left w:val="none" w:sz="0" w:space="0" w:color="auto"/>
                            <w:bottom w:val="none" w:sz="0" w:space="0" w:color="auto"/>
                            <w:right w:val="none" w:sz="0" w:space="0" w:color="auto"/>
                          </w:divBdr>
                          <w:divsChild>
                            <w:div w:id="9605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750">
      <w:marLeft w:val="0"/>
      <w:marRight w:val="0"/>
      <w:marTop w:val="0"/>
      <w:marBottom w:val="0"/>
      <w:divBdr>
        <w:top w:val="none" w:sz="0" w:space="0" w:color="auto"/>
        <w:left w:val="none" w:sz="0" w:space="0" w:color="auto"/>
        <w:bottom w:val="none" w:sz="0" w:space="0" w:color="auto"/>
        <w:right w:val="none" w:sz="0" w:space="0" w:color="auto"/>
      </w:divBdr>
      <w:divsChild>
        <w:div w:id="960575837">
          <w:marLeft w:val="0"/>
          <w:marRight w:val="0"/>
          <w:marTop w:val="0"/>
          <w:marBottom w:val="0"/>
          <w:divBdr>
            <w:top w:val="none" w:sz="0" w:space="0" w:color="auto"/>
            <w:left w:val="none" w:sz="0" w:space="0" w:color="auto"/>
            <w:bottom w:val="none" w:sz="0" w:space="0" w:color="auto"/>
            <w:right w:val="none" w:sz="0" w:space="0" w:color="auto"/>
          </w:divBdr>
          <w:divsChild>
            <w:div w:id="960575757">
              <w:marLeft w:val="0"/>
              <w:marRight w:val="0"/>
              <w:marTop w:val="0"/>
              <w:marBottom w:val="0"/>
              <w:divBdr>
                <w:top w:val="none" w:sz="0" w:space="0" w:color="auto"/>
                <w:left w:val="none" w:sz="0" w:space="0" w:color="auto"/>
                <w:bottom w:val="none" w:sz="0" w:space="0" w:color="auto"/>
                <w:right w:val="none" w:sz="0" w:space="0" w:color="auto"/>
              </w:divBdr>
              <w:divsChild>
                <w:div w:id="960575831">
                  <w:marLeft w:val="0"/>
                  <w:marRight w:val="0"/>
                  <w:marTop w:val="0"/>
                  <w:marBottom w:val="0"/>
                  <w:divBdr>
                    <w:top w:val="none" w:sz="0" w:space="0" w:color="auto"/>
                    <w:left w:val="none" w:sz="0" w:space="0" w:color="auto"/>
                    <w:bottom w:val="none" w:sz="0" w:space="0" w:color="auto"/>
                    <w:right w:val="none" w:sz="0" w:space="0" w:color="auto"/>
                  </w:divBdr>
                  <w:divsChild>
                    <w:div w:id="960575856">
                      <w:marLeft w:val="0"/>
                      <w:marRight w:val="0"/>
                      <w:marTop w:val="0"/>
                      <w:marBottom w:val="0"/>
                      <w:divBdr>
                        <w:top w:val="none" w:sz="0" w:space="0" w:color="auto"/>
                        <w:left w:val="none" w:sz="0" w:space="0" w:color="auto"/>
                        <w:bottom w:val="none" w:sz="0" w:space="0" w:color="auto"/>
                        <w:right w:val="none" w:sz="0" w:space="0" w:color="auto"/>
                      </w:divBdr>
                      <w:divsChild>
                        <w:div w:id="960575744">
                          <w:marLeft w:val="0"/>
                          <w:marRight w:val="0"/>
                          <w:marTop w:val="0"/>
                          <w:marBottom w:val="0"/>
                          <w:divBdr>
                            <w:top w:val="none" w:sz="0" w:space="0" w:color="auto"/>
                            <w:left w:val="none" w:sz="0" w:space="0" w:color="auto"/>
                            <w:bottom w:val="none" w:sz="0" w:space="0" w:color="auto"/>
                            <w:right w:val="none" w:sz="0" w:space="0" w:color="auto"/>
                          </w:divBdr>
                          <w:divsChild>
                            <w:div w:id="9605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753">
      <w:marLeft w:val="0"/>
      <w:marRight w:val="0"/>
      <w:marTop w:val="0"/>
      <w:marBottom w:val="0"/>
      <w:divBdr>
        <w:top w:val="none" w:sz="0" w:space="0" w:color="auto"/>
        <w:left w:val="none" w:sz="0" w:space="0" w:color="auto"/>
        <w:bottom w:val="none" w:sz="0" w:space="0" w:color="auto"/>
        <w:right w:val="none" w:sz="0" w:space="0" w:color="auto"/>
      </w:divBdr>
      <w:divsChild>
        <w:div w:id="960575818">
          <w:marLeft w:val="0"/>
          <w:marRight w:val="0"/>
          <w:marTop w:val="0"/>
          <w:marBottom w:val="0"/>
          <w:divBdr>
            <w:top w:val="none" w:sz="0" w:space="0" w:color="auto"/>
            <w:left w:val="none" w:sz="0" w:space="0" w:color="auto"/>
            <w:bottom w:val="none" w:sz="0" w:space="0" w:color="auto"/>
            <w:right w:val="none" w:sz="0" w:space="0" w:color="auto"/>
          </w:divBdr>
          <w:divsChild>
            <w:div w:id="960575825">
              <w:marLeft w:val="0"/>
              <w:marRight w:val="0"/>
              <w:marTop w:val="0"/>
              <w:marBottom w:val="0"/>
              <w:divBdr>
                <w:top w:val="none" w:sz="0" w:space="0" w:color="auto"/>
                <w:left w:val="none" w:sz="0" w:space="0" w:color="auto"/>
                <w:bottom w:val="none" w:sz="0" w:space="0" w:color="auto"/>
                <w:right w:val="none" w:sz="0" w:space="0" w:color="auto"/>
              </w:divBdr>
              <w:divsChild>
                <w:div w:id="960575861">
                  <w:marLeft w:val="0"/>
                  <w:marRight w:val="0"/>
                  <w:marTop w:val="0"/>
                  <w:marBottom w:val="0"/>
                  <w:divBdr>
                    <w:top w:val="none" w:sz="0" w:space="0" w:color="auto"/>
                    <w:left w:val="none" w:sz="0" w:space="0" w:color="auto"/>
                    <w:bottom w:val="none" w:sz="0" w:space="0" w:color="auto"/>
                    <w:right w:val="none" w:sz="0" w:space="0" w:color="auto"/>
                  </w:divBdr>
                  <w:divsChild>
                    <w:div w:id="960575798">
                      <w:marLeft w:val="0"/>
                      <w:marRight w:val="0"/>
                      <w:marTop w:val="0"/>
                      <w:marBottom w:val="0"/>
                      <w:divBdr>
                        <w:top w:val="none" w:sz="0" w:space="0" w:color="auto"/>
                        <w:left w:val="none" w:sz="0" w:space="0" w:color="auto"/>
                        <w:bottom w:val="none" w:sz="0" w:space="0" w:color="auto"/>
                        <w:right w:val="none" w:sz="0" w:space="0" w:color="auto"/>
                      </w:divBdr>
                      <w:divsChild>
                        <w:div w:id="960575881">
                          <w:marLeft w:val="0"/>
                          <w:marRight w:val="0"/>
                          <w:marTop w:val="0"/>
                          <w:marBottom w:val="0"/>
                          <w:divBdr>
                            <w:top w:val="none" w:sz="0" w:space="0" w:color="auto"/>
                            <w:left w:val="none" w:sz="0" w:space="0" w:color="auto"/>
                            <w:bottom w:val="none" w:sz="0" w:space="0" w:color="auto"/>
                            <w:right w:val="none" w:sz="0" w:space="0" w:color="auto"/>
                          </w:divBdr>
                          <w:divsChild>
                            <w:div w:id="9605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759">
      <w:marLeft w:val="0"/>
      <w:marRight w:val="0"/>
      <w:marTop w:val="0"/>
      <w:marBottom w:val="0"/>
      <w:divBdr>
        <w:top w:val="none" w:sz="0" w:space="0" w:color="auto"/>
        <w:left w:val="none" w:sz="0" w:space="0" w:color="auto"/>
        <w:bottom w:val="none" w:sz="0" w:space="0" w:color="auto"/>
        <w:right w:val="none" w:sz="0" w:space="0" w:color="auto"/>
      </w:divBdr>
      <w:divsChild>
        <w:div w:id="960575847">
          <w:marLeft w:val="0"/>
          <w:marRight w:val="0"/>
          <w:marTop w:val="0"/>
          <w:marBottom w:val="0"/>
          <w:divBdr>
            <w:top w:val="none" w:sz="0" w:space="0" w:color="auto"/>
            <w:left w:val="none" w:sz="0" w:space="0" w:color="auto"/>
            <w:bottom w:val="none" w:sz="0" w:space="0" w:color="auto"/>
            <w:right w:val="none" w:sz="0" w:space="0" w:color="auto"/>
          </w:divBdr>
          <w:divsChild>
            <w:div w:id="960575865">
              <w:marLeft w:val="0"/>
              <w:marRight w:val="0"/>
              <w:marTop w:val="0"/>
              <w:marBottom w:val="0"/>
              <w:divBdr>
                <w:top w:val="none" w:sz="0" w:space="0" w:color="auto"/>
                <w:left w:val="none" w:sz="0" w:space="0" w:color="auto"/>
                <w:bottom w:val="none" w:sz="0" w:space="0" w:color="auto"/>
                <w:right w:val="none" w:sz="0" w:space="0" w:color="auto"/>
              </w:divBdr>
              <w:divsChild>
                <w:div w:id="960575834">
                  <w:marLeft w:val="0"/>
                  <w:marRight w:val="0"/>
                  <w:marTop w:val="0"/>
                  <w:marBottom w:val="0"/>
                  <w:divBdr>
                    <w:top w:val="none" w:sz="0" w:space="0" w:color="auto"/>
                    <w:left w:val="none" w:sz="0" w:space="0" w:color="auto"/>
                    <w:bottom w:val="none" w:sz="0" w:space="0" w:color="auto"/>
                    <w:right w:val="none" w:sz="0" w:space="0" w:color="auto"/>
                  </w:divBdr>
                  <w:divsChild>
                    <w:div w:id="960575804">
                      <w:marLeft w:val="0"/>
                      <w:marRight w:val="0"/>
                      <w:marTop w:val="0"/>
                      <w:marBottom w:val="0"/>
                      <w:divBdr>
                        <w:top w:val="none" w:sz="0" w:space="0" w:color="auto"/>
                        <w:left w:val="none" w:sz="0" w:space="0" w:color="auto"/>
                        <w:bottom w:val="none" w:sz="0" w:space="0" w:color="auto"/>
                        <w:right w:val="none" w:sz="0" w:space="0" w:color="auto"/>
                      </w:divBdr>
                      <w:divsChild>
                        <w:div w:id="960575786">
                          <w:marLeft w:val="0"/>
                          <w:marRight w:val="0"/>
                          <w:marTop w:val="0"/>
                          <w:marBottom w:val="0"/>
                          <w:divBdr>
                            <w:top w:val="none" w:sz="0" w:space="0" w:color="auto"/>
                            <w:left w:val="none" w:sz="0" w:space="0" w:color="auto"/>
                            <w:bottom w:val="none" w:sz="0" w:space="0" w:color="auto"/>
                            <w:right w:val="none" w:sz="0" w:space="0" w:color="auto"/>
                          </w:divBdr>
                          <w:divsChild>
                            <w:div w:id="9605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760">
      <w:marLeft w:val="0"/>
      <w:marRight w:val="0"/>
      <w:marTop w:val="0"/>
      <w:marBottom w:val="0"/>
      <w:divBdr>
        <w:top w:val="none" w:sz="0" w:space="0" w:color="auto"/>
        <w:left w:val="none" w:sz="0" w:space="0" w:color="auto"/>
        <w:bottom w:val="none" w:sz="0" w:space="0" w:color="auto"/>
        <w:right w:val="none" w:sz="0" w:space="0" w:color="auto"/>
      </w:divBdr>
    </w:div>
    <w:div w:id="960575763">
      <w:marLeft w:val="0"/>
      <w:marRight w:val="0"/>
      <w:marTop w:val="0"/>
      <w:marBottom w:val="0"/>
      <w:divBdr>
        <w:top w:val="none" w:sz="0" w:space="0" w:color="auto"/>
        <w:left w:val="none" w:sz="0" w:space="0" w:color="auto"/>
        <w:bottom w:val="none" w:sz="0" w:space="0" w:color="auto"/>
        <w:right w:val="none" w:sz="0" w:space="0" w:color="auto"/>
      </w:divBdr>
      <w:divsChild>
        <w:div w:id="960575830">
          <w:marLeft w:val="0"/>
          <w:marRight w:val="0"/>
          <w:marTop w:val="0"/>
          <w:marBottom w:val="0"/>
          <w:divBdr>
            <w:top w:val="none" w:sz="0" w:space="0" w:color="auto"/>
            <w:left w:val="none" w:sz="0" w:space="0" w:color="auto"/>
            <w:bottom w:val="none" w:sz="0" w:space="0" w:color="auto"/>
            <w:right w:val="none" w:sz="0" w:space="0" w:color="auto"/>
          </w:divBdr>
          <w:divsChild>
            <w:div w:id="960575846">
              <w:marLeft w:val="0"/>
              <w:marRight w:val="0"/>
              <w:marTop w:val="0"/>
              <w:marBottom w:val="0"/>
              <w:divBdr>
                <w:top w:val="none" w:sz="0" w:space="0" w:color="auto"/>
                <w:left w:val="none" w:sz="0" w:space="0" w:color="auto"/>
                <w:bottom w:val="none" w:sz="0" w:space="0" w:color="auto"/>
                <w:right w:val="none" w:sz="0" w:space="0" w:color="auto"/>
              </w:divBdr>
              <w:divsChild>
                <w:div w:id="960575853">
                  <w:marLeft w:val="0"/>
                  <w:marRight w:val="0"/>
                  <w:marTop w:val="0"/>
                  <w:marBottom w:val="0"/>
                  <w:divBdr>
                    <w:top w:val="none" w:sz="0" w:space="0" w:color="auto"/>
                    <w:left w:val="none" w:sz="0" w:space="0" w:color="auto"/>
                    <w:bottom w:val="none" w:sz="0" w:space="0" w:color="auto"/>
                    <w:right w:val="none" w:sz="0" w:space="0" w:color="auto"/>
                  </w:divBdr>
                  <w:divsChild>
                    <w:div w:id="960575785">
                      <w:marLeft w:val="0"/>
                      <w:marRight w:val="0"/>
                      <w:marTop w:val="0"/>
                      <w:marBottom w:val="0"/>
                      <w:divBdr>
                        <w:top w:val="none" w:sz="0" w:space="0" w:color="auto"/>
                        <w:left w:val="none" w:sz="0" w:space="0" w:color="auto"/>
                        <w:bottom w:val="none" w:sz="0" w:space="0" w:color="auto"/>
                        <w:right w:val="none" w:sz="0" w:space="0" w:color="auto"/>
                      </w:divBdr>
                      <w:divsChild>
                        <w:div w:id="960575764">
                          <w:marLeft w:val="0"/>
                          <w:marRight w:val="0"/>
                          <w:marTop w:val="0"/>
                          <w:marBottom w:val="0"/>
                          <w:divBdr>
                            <w:top w:val="none" w:sz="0" w:space="0" w:color="auto"/>
                            <w:left w:val="none" w:sz="0" w:space="0" w:color="auto"/>
                            <w:bottom w:val="none" w:sz="0" w:space="0" w:color="auto"/>
                            <w:right w:val="none" w:sz="0" w:space="0" w:color="auto"/>
                          </w:divBdr>
                          <w:divsChild>
                            <w:div w:id="9605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766">
      <w:marLeft w:val="0"/>
      <w:marRight w:val="0"/>
      <w:marTop w:val="0"/>
      <w:marBottom w:val="0"/>
      <w:divBdr>
        <w:top w:val="none" w:sz="0" w:space="0" w:color="auto"/>
        <w:left w:val="none" w:sz="0" w:space="0" w:color="auto"/>
        <w:bottom w:val="none" w:sz="0" w:space="0" w:color="auto"/>
        <w:right w:val="none" w:sz="0" w:space="0" w:color="auto"/>
      </w:divBdr>
      <w:divsChild>
        <w:div w:id="960575769">
          <w:marLeft w:val="0"/>
          <w:marRight w:val="0"/>
          <w:marTop w:val="0"/>
          <w:marBottom w:val="0"/>
          <w:divBdr>
            <w:top w:val="none" w:sz="0" w:space="0" w:color="auto"/>
            <w:left w:val="none" w:sz="0" w:space="0" w:color="auto"/>
            <w:bottom w:val="none" w:sz="0" w:space="0" w:color="auto"/>
            <w:right w:val="none" w:sz="0" w:space="0" w:color="auto"/>
          </w:divBdr>
          <w:divsChild>
            <w:div w:id="960575820">
              <w:marLeft w:val="0"/>
              <w:marRight w:val="0"/>
              <w:marTop w:val="0"/>
              <w:marBottom w:val="0"/>
              <w:divBdr>
                <w:top w:val="none" w:sz="0" w:space="0" w:color="auto"/>
                <w:left w:val="none" w:sz="0" w:space="0" w:color="auto"/>
                <w:bottom w:val="none" w:sz="0" w:space="0" w:color="auto"/>
                <w:right w:val="none" w:sz="0" w:space="0" w:color="auto"/>
              </w:divBdr>
              <w:divsChild>
                <w:div w:id="960575747">
                  <w:marLeft w:val="0"/>
                  <w:marRight w:val="0"/>
                  <w:marTop w:val="0"/>
                  <w:marBottom w:val="0"/>
                  <w:divBdr>
                    <w:top w:val="none" w:sz="0" w:space="0" w:color="auto"/>
                    <w:left w:val="none" w:sz="0" w:space="0" w:color="auto"/>
                    <w:bottom w:val="none" w:sz="0" w:space="0" w:color="auto"/>
                    <w:right w:val="none" w:sz="0" w:space="0" w:color="auto"/>
                  </w:divBdr>
                  <w:divsChild>
                    <w:div w:id="960575741">
                      <w:marLeft w:val="0"/>
                      <w:marRight w:val="0"/>
                      <w:marTop w:val="0"/>
                      <w:marBottom w:val="0"/>
                      <w:divBdr>
                        <w:top w:val="none" w:sz="0" w:space="0" w:color="auto"/>
                        <w:left w:val="none" w:sz="0" w:space="0" w:color="auto"/>
                        <w:bottom w:val="none" w:sz="0" w:space="0" w:color="auto"/>
                        <w:right w:val="none" w:sz="0" w:space="0" w:color="auto"/>
                      </w:divBdr>
                      <w:divsChild>
                        <w:div w:id="960575817">
                          <w:marLeft w:val="0"/>
                          <w:marRight w:val="0"/>
                          <w:marTop w:val="0"/>
                          <w:marBottom w:val="0"/>
                          <w:divBdr>
                            <w:top w:val="none" w:sz="0" w:space="0" w:color="auto"/>
                            <w:left w:val="none" w:sz="0" w:space="0" w:color="auto"/>
                            <w:bottom w:val="none" w:sz="0" w:space="0" w:color="auto"/>
                            <w:right w:val="none" w:sz="0" w:space="0" w:color="auto"/>
                          </w:divBdr>
                          <w:divsChild>
                            <w:div w:id="960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768">
      <w:marLeft w:val="0"/>
      <w:marRight w:val="0"/>
      <w:marTop w:val="0"/>
      <w:marBottom w:val="0"/>
      <w:divBdr>
        <w:top w:val="none" w:sz="0" w:space="0" w:color="auto"/>
        <w:left w:val="none" w:sz="0" w:space="0" w:color="auto"/>
        <w:bottom w:val="none" w:sz="0" w:space="0" w:color="auto"/>
        <w:right w:val="none" w:sz="0" w:space="0" w:color="auto"/>
      </w:divBdr>
    </w:div>
    <w:div w:id="960575781">
      <w:marLeft w:val="0"/>
      <w:marRight w:val="0"/>
      <w:marTop w:val="0"/>
      <w:marBottom w:val="0"/>
      <w:divBdr>
        <w:top w:val="none" w:sz="0" w:space="0" w:color="auto"/>
        <w:left w:val="none" w:sz="0" w:space="0" w:color="auto"/>
        <w:bottom w:val="none" w:sz="0" w:space="0" w:color="auto"/>
        <w:right w:val="none" w:sz="0" w:space="0" w:color="auto"/>
      </w:divBdr>
      <w:divsChild>
        <w:div w:id="960575797">
          <w:marLeft w:val="0"/>
          <w:marRight w:val="0"/>
          <w:marTop w:val="0"/>
          <w:marBottom w:val="0"/>
          <w:divBdr>
            <w:top w:val="none" w:sz="0" w:space="0" w:color="auto"/>
            <w:left w:val="none" w:sz="0" w:space="0" w:color="auto"/>
            <w:bottom w:val="none" w:sz="0" w:space="0" w:color="auto"/>
            <w:right w:val="none" w:sz="0" w:space="0" w:color="auto"/>
          </w:divBdr>
          <w:divsChild>
            <w:div w:id="960575871">
              <w:marLeft w:val="0"/>
              <w:marRight w:val="0"/>
              <w:marTop w:val="0"/>
              <w:marBottom w:val="0"/>
              <w:divBdr>
                <w:top w:val="none" w:sz="0" w:space="0" w:color="auto"/>
                <w:left w:val="none" w:sz="0" w:space="0" w:color="auto"/>
                <w:bottom w:val="none" w:sz="0" w:space="0" w:color="auto"/>
                <w:right w:val="none" w:sz="0" w:space="0" w:color="auto"/>
              </w:divBdr>
              <w:divsChild>
                <w:div w:id="960575783">
                  <w:marLeft w:val="0"/>
                  <w:marRight w:val="0"/>
                  <w:marTop w:val="0"/>
                  <w:marBottom w:val="0"/>
                  <w:divBdr>
                    <w:top w:val="none" w:sz="0" w:space="0" w:color="auto"/>
                    <w:left w:val="none" w:sz="0" w:space="0" w:color="auto"/>
                    <w:bottom w:val="none" w:sz="0" w:space="0" w:color="auto"/>
                    <w:right w:val="none" w:sz="0" w:space="0" w:color="auto"/>
                  </w:divBdr>
                  <w:divsChild>
                    <w:div w:id="960575789">
                      <w:marLeft w:val="0"/>
                      <w:marRight w:val="0"/>
                      <w:marTop w:val="0"/>
                      <w:marBottom w:val="0"/>
                      <w:divBdr>
                        <w:top w:val="none" w:sz="0" w:space="0" w:color="auto"/>
                        <w:left w:val="none" w:sz="0" w:space="0" w:color="auto"/>
                        <w:bottom w:val="none" w:sz="0" w:space="0" w:color="auto"/>
                        <w:right w:val="none" w:sz="0" w:space="0" w:color="auto"/>
                      </w:divBdr>
                      <w:divsChild>
                        <w:div w:id="960575754">
                          <w:marLeft w:val="0"/>
                          <w:marRight w:val="0"/>
                          <w:marTop w:val="0"/>
                          <w:marBottom w:val="0"/>
                          <w:divBdr>
                            <w:top w:val="none" w:sz="0" w:space="0" w:color="auto"/>
                            <w:left w:val="none" w:sz="0" w:space="0" w:color="auto"/>
                            <w:bottom w:val="none" w:sz="0" w:space="0" w:color="auto"/>
                            <w:right w:val="none" w:sz="0" w:space="0" w:color="auto"/>
                          </w:divBdr>
                          <w:divsChild>
                            <w:div w:id="9605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08">
      <w:marLeft w:val="0"/>
      <w:marRight w:val="0"/>
      <w:marTop w:val="0"/>
      <w:marBottom w:val="0"/>
      <w:divBdr>
        <w:top w:val="none" w:sz="0" w:space="0" w:color="auto"/>
        <w:left w:val="none" w:sz="0" w:space="0" w:color="auto"/>
        <w:bottom w:val="none" w:sz="0" w:space="0" w:color="auto"/>
        <w:right w:val="none" w:sz="0" w:space="0" w:color="auto"/>
      </w:divBdr>
      <w:divsChild>
        <w:div w:id="960575844">
          <w:marLeft w:val="0"/>
          <w:marRight w:val="0"/>
          <w:marTop w:val="0"/>
          <w:marBottom w:val="0"/>
          <w:divBdr>
            <w:top w:val="none" w:sz="0" w:space="0" w:color="auto"/>
            <w:left w:val="none" w:sz="0" w:space="0" w:color="auto"/>
            <w:bottom w:val="none" w:sz="0" w:space="0" w:color="auto"/>
            <w:right w:val="none" w:sz="0" w:space="0" w:color="auto"/>
          </w:divBdr>
          <w:divsChild>
            <w:div w:id="960575755">
              <w:marLeft w:val="0"/>
              <w:marRight w:val="0"/>
              <w:marTop w:val="0"/>
              <w:marBottom w:val="0"/>
              <w:divBdr>
                <w:top w:val="none" w:sz="0" w:space="0" w:color="auto"/>
                <w:left w:val="none" w:sz="0" w:space="0" w:color="auto"/>
                <w:bottom w:val="none" w:sz="0" w:space="0" w:color="auto"/>
                <w:right w:val="none" w:sz="0" w:space="0" w:color="auto"/>
              </w:divBdr>
              <w:divsChild>
                <w:div w:id="960575833">
                  <w:marLeft w:val="0"/>
                  <w:marRight w:val="0"/>
                  <w:marTop w:val="0"/>
                  <w:marBottom w:val="0"/>
                  <w:divBdr>
                    <w:top w:val="none" w:sz="0" w:space="0" w:color="auto"/>
                    <w:left w:val="none" w:sz="0" w:space="0" w:color="auto"/>
                    <w:bottom w:val="none" w:sz="0" w:space="0" w:color="auto"/>
                    <w:right w:val="none" w:sz="0" w:space="0" w:color="auto"/>
                  </w:divBdr>
                  <w:divsChild>
                    <w:div w:id="960575782">
                      <w:marLeft w:val="0"/>
                      <w:marRight w:val="0"/>
                      <w:marTop w:val="0"/>
                      <w:marBottom w:val="0"/>
                      <w:divBdr>
                        <w:top w:val="none" w:sz="0" w:space="0" w:color="auto"/>
                        <w:left w:val="none" w:sz="0" w:space="0" w:color="auto"/>
                        <w:bottom w:val="none" w:sz="0" w:space="0" w:color="auto"/>
                        <w:right w:val="none" w:sz="0" w:space="0" w:color="auto"/>
                      </w:divBdr>
                      <w:divsChild>
                        <w:div w:id="960575848">
                          <w:marLeft w:val="0"/>
                          <w:marRight w:val="0"/>
                          <w:marTop w:val="0"/>
                          <w:marBottom w:val="0"/>
                          <w:divBdr>
                            <w:top w:val="none" w:sz="0" w:space="0" w:color="auto"/>
                            <w:left w:val="none" w:sz="0" w:space="0" w:color="auto"/>
                            <w:bottom w:val="none" w:sz="0" w:space="0" w:color="auto"/>
                            <w:right w:val="none" w:sz="0" w:space="0" w:color="auto"/>
                          </w:divBdr>
                          <w:divsChild>
                            <w:div w:id="9605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12">
      <w:marLeft w:val="0"/>
      <w:marRight w:val="0"/>
      <w:marTop w:val="0"/>
      <w:marBottom w:val="0"/>
      <w:divBdr>
        <w:top w:val="none" w:sz="0" w:space="0" w:color="auto"/>
        <w:left w:val="none" w:sz="0" w:space="0" w:color="auto"/>
        <w:bottom w:val="none" w:sz="0" w:space="0" w:color="auto"/>
        <w:right w:val="none" w:sz="0" w:space="0" w:color="auto"/>
      </w:divBdr>
      <w:divsChild>
        <w:div w:id="960575792">
          <w:marLeft w:val="0"/>
          <w:marRight w:val="0"/>
          <w:marTop w:val="0"/>
          <w:marBottom w:val="0"/>
          <w:divBdr>
            <w:top w:val="none" w:sz="0" w:space="0" w:color="auto"/>
            <w:left w:val="none" w:sz="0" w:space="0" w:color="auto"/>
            <w:bottom w:val="none" w:sz="0" w:space="0" w:color="auto"/>
            <w:right w:val="none" w:sz="0" w:space="0" w:color="auto"/>
          </w:divBdr>
          <w:divsChild>
            <w:div w:id="960575874">
              <w:marLeft w:val="0"/>
              <w:marRight w:val="0"/>
              <w:marTop w:val="0"/>
              <w:marBottom w:val="0"/>
              <w:divBdr>
                <w:top w:val="none" w:sz="0" w:space="0" w:color="auto"/>
                <w:left w:val="none" w:sz="0" w:space="0" w:color="auto"/>
                <w:bottom w:val="none" w:sz="0" w:space="0" w:color="auto"/>
                <w:right w:val="none" w:sz="0" w:space="0" w:color="auto"/>
              </w:divBdr>
              <w:divsChild>
                <w:div w:id="960575761">
                  <w:marLeft w:val="0"/>
                  <w:marRight w:val="0"/>
                  <w:marTop w:val="0"/>
                  <w:marBottom w:val="0"/>
                  <w:divBdr>
                    <w:top w:val="none" w:sz="0" w:space="0" w:color="auto"/>
                    <w:left w:val="none" w:sz="0" w:space="0" w:color="auto"/>
                    <w:bottom w:val="none" w:sz="0" w:space="0" w:color="auto"/>
                    <w:right w:val="none" w:sz="0" w:space="0" w:color="auto"/>
                  </w:divBdr>
                  <w:divsChild>
                    <w:div w:id="960575864">
                      <w:marLeft w:val="0"/>
                      <w:marRight w:val="0"/>
                      <w:marTop w:val="0"/>
                      <w:marBottom w:val="0"/>
                      <w:divBdr>
                        <w:top w:val="none" w:sz="0" w:space="0" w:color="auto"/>
                        <w:left w:val="none" w:sz="0" w:space="0" w:color="auto"/>
                        <w:bottom w:val="none" w:sz="0" w:space="0" w:color="auto"/>
                        <w:right w:val="none" w:sz="0" w:space="0" w:color="auto"/>
                      </w:divBdr>
                      <w:divsChild>
                        <w:div w:id="960575807">
                          <w:marLeft w:val="0"/>
                          <w:marRight w:val="0"/>
                          <w:marTop w:val="0"/>
                          <w:marBottom w:val="0"/>
                          <w:divBdr>
                            <w:top w:val="none" w:sz="0" w:space="0" w:color="auto"/>
                            <w:left w:val="none" w:sz="0" w:space="0" w:color="auto"/>
                            <w:bottom w:val="none" w:sz="0" w:space="0" w:color="auto"/>
                            <w:right w:val="none" w:sz="0" w:space="0" w:color="auto"/>
                          </w:divBdr>
                          <w:divsChild>
                            <w:div w:id="9605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23">
      <w:marLeft w:val="0"/>
      <w:marRight w:val="0"/>
      <w:marTop w:val="0"/>
      <w:marBottom w:val="0"/>
      <w:divBdr>
        <w:top w:val="none" w:sz="0" w:space="0" w:color="auto"/>
        <w:left w:val="none" w:sz="0" w:space="0" w:color="auto"/>
        <w:bottom w:val="none" w:sz="0" w:space="0" w:color="auto"/>
        <w:right w:val="none" w:sz="0" w:space="0" w:color="auto"/>
      </w:divBdr>
    </w:div>
    <w:div w:id="960575832">
      <w:marLeft w:val="0"/>
      <w:marRight w:val="0"/>
      <w:marTop w:val="0"/>
      <w:marBottom w:val="0"/>
      <w:divBdr>
        <w:top w:val="none" w:sz="0" w:space="0" w:color="auto"/>
        <w:left w:val="none" w:sz="0" w:space="0" w:color="auto"/>
        <w:bottom w:val="none" w:sz="0" w:space="0" w:color="auto"/>
        <w:right w:val="none" w:sz="0" w:space="0" w:color="auto"/>
      </w:divBdr>
    </w:div>
    <w:div w:id="960575836">
      <w:marLeft w:val="0"/>
      <w:marRight w:val="0"/>
      <w:marTop w:val="0"/>
      <w:marBottom w:val="0"/>
      <w:divBdr>
        <w:top w:val="none" w:sz="0" w:space="0" w:color="auto"/>
        <w:left w:val="none" w:sz="0" w:space="0" w:color="auto"/>
        <w:bottom w:val="none" w:sz="0" w:space="0" w:color="auto"/>
        <w:right w:val="none" w:sz="0" w:space="0" w:color="auto"/>
      </w:divBdr>
      <w:divsChild>
        <w:div w:id="960575819">
          <w:marLeft w:val="0"/>
          <w:marRight w:val="0"/>
          <w:marTop w:val="0"/>
          <w:marBottom w:val="0"/>
          <w:divBdr>
            <w:top w:val="none" w:sz="0" w:space="0" w:color="auto"/>
            <w:left w:val="none" w:sz="0" w:space="0" w:color="auto"/>
            <w:bottom w:val="none" w:sz="0" w:space="0" w:color="auto"/>
            <w:right w:val="none" w:sz="0" w:space="0" w:color="auto"/>
          </w:divBdr>
          <w:divsChild>
            <w:div w:id="960575870">
              <w:marLeft w:val="0"/>
              <w:marRight w:val="0"/>
              <w:marTop w:val="0"/>
              <w:marBottom w:val="0"/>
              <w:divBdr>
                <w:top w:val="none" w:sz="0" w:space="0" w:color="auto"/>
                <w:left w:val="none" w:sz="0" w:space="0" w:color="auto"/>
                <w:bottom w:val="none" w:sz="0" w:space="0" w:color="auto"/>
                <w:right w:val="none" w:sz="0" w:space="0" w:color="auto"/>
              </w:divBdr>
              <w:divsChild>
                <w:div w:id="960575845">
                  <w:marLeft w:val="0"/>
                  <w:marRight w:val="0"/>
                  <w:marTop w:val="0"/>
                  <w:marBottom w:val="0"/>
                  <w:divBdr>
                    <w:top w:val="none" w:sz="0" w:space="0" w:color="auto"/>
                    <w:left w:val="none" w:sz="0" w:space="0" w:color="auto"/>
                    <w:bottom w:val="none" w:sz="0" w:space="0" w:color="auto"/>
                    <w:right w:val="none" w:sz="0" w:space="0" w:color="auto"/>
                  </w:divBdr>
                  <w:divsChild>
                    <w:div w:id="960575828">
                      <w:marLeft w:val="0"/>
                      <w:marRight w:val="0"/>
                      <w:marTop w:val="0"/>
                      <w:marBottom w:val="0"/>
                      <w:divBdr>
                        <w:top w:val="none" w:sz="0" w:space="0" w:color="auto"/>
                        <w:left w:val="none" w:sz="0" w:space="0" w:color="auto"/>
                        <w:bottom w:val="none" w:sz="0" w:space="0" w:color="auto"/>
                        <w:right w:val="none" w:sz="0" w:space="0" w:color="auto"/>
                      </w:divBdr>
                      <w:divsChild>
                        <w:div w:id="960575827">
                          <w:marLeft w:val="0"/>
                          <w:marRight w:val="0"/>
                          <w:marTop w:val="0"/>
                          <w:marBottom w:val="0"/>
                          <w:divBdr>
                            <w:top w:val="none" w:sz="0" w:space="0" w:color="auto"/>
                            <w:left w:val="none" w:sz="0" w:space="0" w:color="auto"/>
                            <w:bottom w:val="none" w:sz="0" w:space="0" w:color="auto"/>
                            <w:right w:val="none" w:sz="0" w:space="0" w:color="auto"/>
                          </w:divBdr>
                          <w:divsChild>
                            <w:div w:id="9605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39">
      <w:marLeft w:val="0"/>
      <w:marRight w:val="0"/>
      <w:marTop w:val="0"/>
      <w:marBottom w:val="0"/>
      <w:divBdr>
        <w:top w:val="none" w:sz="0" w:space="0" w:color="auto"/>
        <w:left w:val="none" w:sz="0" w:space="0" w:color="auto"/>
        <w:bottom w:val="none" w:sz="0" w:space="0" w:color="auto"/>
        <w:right w:val="none" w:sz="0" w:space="0" w:color="auto"/>
      </w:divBdr>
    </w:div>
    <w:div w:id="960575843">
      <w:marLeft w:val="0"/>
      <w:marRight w:val="0"/>
      <w:marTop w:val="0"/>
      <w:marBottom w:val="0"/>
      <w:divBdr>
        <w:top w:val="none" w:sz="0" w:space="0" w:color="auto"/>
        <w:left w:val="none" w:sz="0" w:space="0" w:color="auto"/>
        <w:bottom w:val="none" w:sz="0" w:space="0" w:color="auto"/>
        <w:right w:val="none" w:sz="0" w:space="0" w:color="auto"/>
      </w:divBdr>
      <w:divsChild>
        <w:div w:id="960575878">
          <w:marLeft w:val="0"/>
          <w:marRight w:val="0"/>
          <w:marTop w:val="0"/>
          <w:marBottom w:val="0"/>
          <w:divBdr>
            <w:top w:val="none" w:sz="0" w:space="0" w:color="auto"/>
            <w:left w:val="none" w:sz="0" w:space="0" w:color="auto"/>
            <w:bottom w:val="none" w:sz="0" w:space="0" w:color="auto"/>
            <w:right w:val="none" w:sz="0" w:space="0" w:color="auto"/>
          </w:divBdr>
          <w:divsChild>
            <w:div w:id="960575793">
              <w:marLeft w:val="0"/>
              <w:marRight w:val="0"/>
              <w:marTop w:val="0"/>
              <w:marBottom w:val="0"/>
              <w:divBdr>
                <w:top w:val="none" w:sz="0" w:space="0" w:color="auto"/>
                <w:left w:val="none" w:sz="0" w:space="0" w:color="auto"/>
                <w:bottom w:val="none" w:sz="0" w:space="0" w:color="auto"/>
                <w:right w:val="none" w:sz="0" w:space="0" w:color="auto"/>
              </w:divBdr>
              <w:divsChild>
                <w:div w:id="960575857">
                  <w:marLeft w:val="0"/>
                  <w:marRight w:val="0"/>
                  <w:marTop w:val="0"/>
                  <w:marBottom w:val="0"/>
                  <w:divBdr>
                    <w:top w:val="none" w:sz="0" w:space="0" w:color="auto"/>
                    <w:left w:val="none" w:sz="0" w:space="0" w:color="auto"/>
                    <w:bottom w:val="none" w:sz="0" w:space="0" w:color="auto"/>
                    <w:right w:val="none" w:sz="0" w:space="0" w:color="auto"/>
                  </w:divBdr>
                  <w:divsChild>
                    <w:div w:id="960575806">
                      <w:marLeft w:val="0"/>
                      <w:marRight w:val="0"/>
                      <w:marTop w:val="0"/>
                      <w:marBottom w:val="0"/>
                      <w:divBdr>
                        <w:top w:val="none" w:sz="0" w:space="0" w:color="auto"/>
                        <w:left w:val="none" w:sz="0" w:space="0" w:color="auto"/>
                        <w:bottom w:val="none" w:sz="0" w:space="0" w:color="auto"/>
                        <w:right w:val="none" w:sz="0" w:space="0" w:color="auto"/>
                      </w:divBdr>
                      <w:divsChild>
                        <w:div w:id="960575787">
                          <w:marLeft w:val="0"/>
                          <w:marRight w:val="0"/>
                          <w:marTop w:val="0"/>
                          <w:marBottom w:val="0"/>
                          <w:divBdr>
                            <w:top w:val="none" w:sz="0" w:space="0" w:color="auto"/>
                            <w:left w:val="none" w:sz="0" w:space="0" w:color="auto"/>
                            <w:bottom w:val="none" w:sz="0" w:space="0" w:color="auto"/>
                            <w:right w:val="none" w:sz="0" w:space="0" w:color="auto"/>
                          </w:divBdr>
                          <w:divsChild>
                            <w:div w:id="9605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50">
      <w:marLeft w:val="0"/>
      <w:marRight w:val="0"/>
      <w:marTop w:val="0"/>
      <w:marBottom w:val="0"/>
      <w:divBdr>
        <w:top w:val="none" w:sz="0" w:space="0" w:color="auto"/>
        <w:left w:val="none" w:sz="0" w:space="0" w:color="auto"/>
        <w:bottom w:val="none" w:sz="0" w:space="0" w:color="auto"/>
        <w:right w:val="none" w:sz="0" w:space="0" w:color="auto"/>
      </w:divBdr>
    </w:div>
    <w:div w:id="960575851">
      <w:marLeft w:val="0"/>
      <w:marRight w:val="0"/>
      <w:marTop w:val="0"/>
      <w:marBottom w:val="0"/>
      <w:divBdr>
        <w:top w:val="none" w:sz="0" w:space="0" w:color="auto"/>
        <w:left w:val="none" w:sz="0" w:space="0" w:color="auto"/>
        <w:bottom w:val="none" w:sz="0" w:space="0" w:color="auto"/>
        <w:right w:val="none" w:sz="0" w:space="0" w:color="auto"/>
      </w:divBdr>
      <w:divsChild>
        <w:div w:id="960575772">
          <w:marLeft w:val="0"/>
          <w:marRight w:val="0"/>
          <w:marTop w:val="0"/>
          <w:marBottom w:val="0"/>
          <w:divBdr>
            <w:top w:val="none" w:sz="0" w:space="0" w:color="auto"/>
            <w:left w:val="none" w:sz="0" w:space="0" w:color="auto"/>
            <w:bottom w:val="none" w:sz="0" w:space="0" w:color="auto"/>
            <w:right w:val="none" w:sz="0" w:space="0" w:color="auto"/>
          </w:divBdr>
          <w:divsChild>
            <w:div w:id="960575842">
              <w:marLeft w:val="0"/>
              <w:marRight w:val="0"/>
              <w:marTop w:val="0"/>
              <w:marBottom w:val="0"/>
              <w:divBdr>
                <w:top w:val="none" w:sz="0" w:space="0" w:color="auto"/>
                <w:left w:val="none" w:sz="0" w:space="0" w:color="auto"/>
                <w:bottom w:val="none" w:sz="0" w:space="0" w:color="auto"/>
                <w:right w:val="none" w:sz="0" w:space="0" w:color="auto"/>
              </w:divBdr>
              <w:divsChild>
                <w:div w:id="960575829">
                  <w:marLeft w:val="0"/>
                  <w:marRight w:val="0"/>
                  <w:marTop w:val="0"/>
                  <w:marBottom w:val="0"/>
                  <w:divBdr>
                    <w:top w:val="none" w:sz="0" w:space="0" w:color="auto"/>
                    <w:left w:val="none" w:sz="0" w:space="0" w:color="auto"/>
                    <w:bottom w:val="none" w:sz="0" w:space="0" w:color="auto"/>
                    <w:right w:val="none" w:sz="0" w:space="0" w:color="auto"/>
                  </w:divBdr>
                  <w:divsChild>
                    <w:div w:id="960575802">
                      <w:marLeft w:val="0"/>
                      <w:marRight w:val="0"/>
                      <w:marTop w:val="0"/>
                      <w:marBottom w:val="0"/>
                      <w:divBdr>
                        <w:top w:val="none" w:sz="0" w:space="0" w:color="auto"/>
                        <w:left w:val="none" w:sz="0" w:space="0" w:color="auto"/>
                        <w:bottom w:val="none" w:sz="0" w:space="0" w:color="auto"/>
                        <w:right w:val="none" w:sz="0" w:space="0" w:color="auto"/>
                      </w:divBdr>
                      <w:divsChild>
                        <w:div w:id="960575775">
                          <w:marLeft w:val="0"/>
                          <w:marRight w:val="0"/>
                          <w:marTop w:val="0"/>
                          <w:marBottom w:val="0"/>
                          <w:divBdr>
                            <w:top w:val="none" w:sz="0" w:space="0" w:color="auto"/>
                            <w:left w:val="none" w:sz="0" w:space="0" w:color="auto"/>
                            <w:bottom w:val="none" w:sz="0" w:space="0" w:color="auto"/>
                            <w:right w:val="none" w:sz="0" w:space="0" w:color="auto"/>
                          </w:divBdr>
                          <w:divsChild>
                            <w:div w:id="9605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55">
      <w:marLeft w:val="0"/>
      <w:marRight w:val="0"/>
      <w:marTop w:val="0"/>
      <w:marBottom w:val="0"/>
      <w:divBdr>
        <w:top w:val="none" w:sz="0" w:space="0" w:color="auto"/>
        <w:left w:val="none" w:sz="0" w:space="0" w:color="auto"/>
        <w:bottom w:val="none" w:sz="0" w:space="0" w:color="auto"/>
        <w:right w:val="none" w:sz="0" w:space="0" w:color="auto"/>
      </w:divBdr>
      <w:divsChild>
        <w:div w:id="960575796">
          <w:marLeft w:val="0"/>
          <w:marRight w:val="0"/>
          <w:marTop w:val="0"/>
          <w:marBottom w:val="0"/>
          <w:divBdr>
            <w:top w:val="none" w:sz="0" w:space="0" w:color="auto"/>
            <w:left w:val="none" w:sz="0" w:space="0" w:color="auto"/>
            <w:bottom w:val="none" w:sz="0" w:space="0" w:color="auto"/>
            <w:right w:val="none" w:sz="0" w:space="0" w:color="auto"/>
          </w:divBdr>
          <w:divsChild>
            <w:div w:id="960575795">
              <w:marLeft w:val="0"/>
              <w:marRight w:val="0"/>
              <w:marTop w:val="0"/>
              <w:marBottom w:val="0"/>
              <w:divBdr>
                <w:top w:val="none" w:sz="0" w:space="0" w:color="auto"/>
                <w:left w:val="none" w:sz="0" w:space="0" w:color="auto"/>
                <w:bottom w:val="none" w:sz="0" w:space="0" w:color="auto"/>
                <w:right w:val="none" w:sz="0" w:space="0" w:color="auto"/>
              </w:divBdr>
              <w:divsChild>
                <w:div w:id="960575776">
                  <w:marLeft w:val="0"/>
                  <w:marRight w:val="0"/>
                  <w:marTop w:val="0"/>
                  <w:marBottom w:val="0"/>
                  <w:divBdr>
                    <w:top w:val="none" w:sz="0" w:space="0" w:color="auto"/>
                    <w:left w:val="none" w:sz="0" w:space="0" w:color="auto"/>
                    <w:bottom w:val="none" w:sz="0" w:space="0" w:color="auto"/>
                    <w:right w:val="none" w:sz="0" w:space="0" w:color="auto"/>
                  </w:divBdr>
                  <w:divsChild>
                    <w:div w:id="960575810">
                      <w:marLeft w:val="0"/>
                      <w:marRight w:val="0"/>
                      <w:marTop w:val="0"/>
                      <w:marBottom w:val="0"/>
                      <w:divBdr>
                        <w:top w:val="none" w:sz="0" w:space="0" w:color="auto"/>
                        <w:left w:val="none" w:sz="0" w:space="0" w:color="auto"/>
                        <w:bottom w:val="none" w:sz="0" w:space="0" w:color="auto"/>
                        <w:right w:val="none" w:sz="0" w:space="0" w:color="auto"/>
                      </w:divBdr>
                      <w:divsChild>
                        <w:div w:id="960575809">
                          <w:marLeft w:val="0"/>
                          <w:marRight w:val="0"/>
                          <w:marTop w:val="0"/>
                          <w:marBottom w:val="0"/>
                          <w:divBdr>
                            <w:top w:val="none" w:sz="0" w:space="0" w:color="auto"/>
                            <w:left w:val="none" w:sz="0" w:space="0" w:color="auto"/>
                            <w:bottom w:val="none" w:sz="0" w:space="0" w:color="auto"/>
                            <w:right w:val="none" w:sz="0" w:space="0" w:color="auto"/>
                          </w:divBdr>
                          <w:divsChild>
                            <w:div w:id="9605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58">
      <w:marLeft w:val="0"/>
      <w:marRight w:val="0"/>
      <w:marTop w:val="0"/>
      <w:marBottom w:val="0"/>
      <w:divBdr>
        <w:top w:val="none" w:sz="0" w:space="0" w:color="auto"/>
        <w:left w:val="none" w:sz="0" w:space="0" w:color="auto"/>
        <w:bottom w:val="none" w:sz="0" w:space="0" w:color="auto"/>
        <w:right w:val="none" w:sz="0" w:space="0" w:color="auto"/>
      </w:divBdr>
      <w:divsChild>
        <w:div w:id="960575778">
          <w:marLeft w:val="0"/>
          <w:marRight w:val="0"/>
          <w:marTop w:val="0"/>
          <w:marBottom w:val="0"/>
          <w:divBdr>
            <w:top w:val="none" w:sz="0" w:space="0" w:color="auto"/>
            <w:left w:val="none" w:sz="0" w:space="0" w:color="auto"/>
            <w:bottom w:val="none" w:sz="0" w:space="0" w:color="auto"/>
            <w:right w:val="none" w:sz="0" w:space="0" w:color="auto"/>
          </w:divBdr>
          <w:divsChild>
            <w:div w:id="960575868">
              <w:marLeft w:val="0"/>
              <w:marRight w:val="0"/>
              <w:marTop w:val="0"/>
              <w:marBottom w:val="0"/>
              <w:divBdr>
                <w:top w:val="none" w:sz="0" w:space="0" w:color="auto"/>
                <w:left w:val="none" w:sz="0" w:space="0" w:color="auto"/>
                <w:bottom w:val="none" w:sz="0" w:space="0" w:color="auto"/>
                <w:right w:val="none" w:sz="0" w:space="0" w:color="auto"/>
              </w:divBdr>
              <w:divsChild>
                <w:div w:id="960575803">
                  <w:marLeft w:val="0"/>
                  <w:marRight w:val="0"/>
                  <w:marTop w:val="0"/>
                  <w:marBottom w:val="0"/>
                  <w:divBdr>
                    <w:top w:val="none" w:sz="0" w:space="0" w:color="auto"/>
                    <w:left w:val="none" w:sz="0" w:space="0" w:color="auto"/>
                    <w:bottom w:val="none" w:sz="0" w:space="0" w:color="auto"/>
                    <w:right w:val="none" w:sz="0" w:space="0" w:color="auto"/>
                  </w:divBdr>
                  <w:divsChild>
                    <w:div w:id="960575822">
                      <w:marLeft w:val="0"/>
                      <w:marRight w:val="0"/>
                      <w:marTop w:val="0"/>
                      <w:marBottom w:val="0"/>
                      <w:divBdr>
                        <w:top w:val="none" w:sz="0" w:space="0" w:color="auto"/>
                        <w:left w:val="none" w:sz="0" w:space="0" w:color="auto"/>
                        <w:bottom w:val="none" w:sz="0" w:space="0" w:color="auto"/>
                        <w:right w:val="none" w:sz="0" w:space="0" w:color="auto"/>
                      </w:divBdr>
                      <w:divsChild>
                        <w:div w:id="960575791">
                          <w:marLeft w:val="0"/>
                          <w:marRight w:val="0"/>
                          <w:marTop w:val="0"/>
                          <w:marBottom w:val="0"/>
                          <w:divBdr>
                            <w:top w:val="none" w:sz="0" w:space="0" w:color="auto"/>
                            <w:left w:val="none" w:sz="0" w:space="0" w:color="auto"/>
                            <w:bottom w:val="none" w:sz="0" w:space="0" w:color="auto"/>
                            <w:right w:val="none" w:sz="0" w:space="0" w:color="auto"/>
                          </w:divBdr>
                          <w:divsChild>
                            <w:div w:id="9605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72">
      <w:marLeft w:val="0"/>
      <w:marRight w:val="0"/>
      <w:marTop w:val="0"/>
      <w:marBottom w:val="0"/>
      <w:divBdr>
        <w:top w:val="none" w:sz="0" w:space="0" w:color="auto"/>
        <w:left w:val="none" w:sz="0" w:space="0" w:color="auto"/>
        <w:bottom w:val="none" w:sz="0" w:space="0" w:color="auto"/>
        <w:right w:val="none" w:sz="0" w:space="0" w:color="auto"/>
      </w:divBdr>
    </w:div>
    <w:div w:id="960575873">
      <w:marLeft w:val="0"/>
      <w:marRight w:val="0"/>
      <w:marTop w:val="0"/>
      <w:marBottom w:val="0"/>
      <w:divBdr>
        <w:top w:val="none" w:sz="0" w:space="0" w:color="auto"/>
        <w:left w:val="none" w:sz="0" w:space="0" w:color="auto"/>
        <w:bottom w:val="none" w:sz="0" w:space="0" w:color="auto"/>
        <w:right w:val="none" w:sz="0" w:space="0" w:color="auto"/>
      </w:divBdr>
    </w:div>
    <w:div w:id="960575876">
      <w:marLeft w:val="0"/>
      <w:marRight w:val="0"/>
      <w:marTop w:val="0"/>
      <w:marBottom w:val="0"/>
      <w:divBdr>
        <w:top w:val="none" w:sz="0" w:space="0" w:color="auto"/>
        <w:left w:val="none" w:sz="0" w:space="0" w:color="auto"/>
        <w:bottom w:val="none" w:sz="0" w:space="0" w:color="auto"/>
        <w:right w:val="none" w:sz="0" w:space="0" w:color="auto"/>
      </w:divBdr>
      <w:divsChild>
        <w:div w:id="960575854">
          <w:marLeft w:val="0"/>
          <w:marRight w:val="0"/>
          <w:marTop w:val="0"/>
          <w:marBottom w:val="0"/>
          <w:divBdr>
            <w:top w:val="none" w:sz="0" w:space="0" w:color="auto"/>
            <w:left w:val="none" w:sz="0" w:space="0" w:color="auto"/>
            <w:bottom w:val="none" w:sz="0" w:space="0" w:color="auto"/>
            <w:right w:val="none" w:sz="0" w:space="0" w:color="auto"/>
          </w:divBdr>
          <w:divsChild>
            <w:div w:id="960575826">
              <w:marLeft w:val="0"/>
              <w:marRight w:val="0"/>
              <w:marTop w:val="0"/>
              <w:marBottom w:val="0"/>
              <w:divBdr>
                <w:top w:val="none" w:sz="0" w:space="0" w:color="auto"/>
                <w:left w:val="none" w:sz="0" w:space="0" w:color="auto"/>
                <w:bottom w:val="none" w:sz="0" w:space="0" w:color="auto"/>
                <w:right w:val="none" w:sz="0" w:space="0" w:color="auto"/>
              </w:divBdr>
              <w:divsChild>
                <w:div w:id="960575794">
                  <w:marLeft w:val="0"/>
                  <w:marRight w:val="0"/>
                  <w:marTop w:val="0"/>
                  <w:marBottom w:val="0"/>
                  <w:divBdr>
                    <w:top w:val="none" w:sz="0" w:space="0" w:color="auto"/>
                    <w:left w:val="none" w:sz="0" w:space="0" w:color="auto"/>
                    <w:bottom w:val="none" w:sz="0" w:space="0" w:color="auto"/>
                    <w:right w:val="none" w:sz="0" w:space="0" w:color="auto"/>
                  </w:divBdr>
                  <w:divsChild>
                    <w:div w:id="960575862">
                      <w:marLeft w:val="0"/>
                      <w:marRight w:val="0"/>
                      <w:marTop w:val="0"/>
                      <w:marBottom w:val="0"/>
                      <w:divBdr>
                        <w:top w:val="none" w:sz="0" w:space="0" w:color="auto"/>
                        <w:left w:val="none" w:sz="0" w:space="0" w:color="auto"/>
                        <w:bottom w:val="none" w:sz="0" w:space="0" w:color="auto"/>
                        <w:right w:val="none" w:sz="0" w:space="0" w:color="auto"/>
                      </w:divBdr>
                      <w:divsChild>
                        <w:div w:id="960575773">
                          <w:marLeft w:val="0"/>
                          <w:marRight w:val="0"/>
                          <w:marTop w:val="0"/>
                          <w:marBottom w:val="0"/>
                          <w:divBdr>
                            <w:top w:val="none" w:sz="0" w:space="0" w:color="auto"/>
                            <w:left w:val="none" w:sz="0" w:space="0" w:color="auto"/>
                            <w:bottom w:val="none" w:sz="0" w:space="0" w:color="auto"/>
                            <w:right w:val="none" w:sz="0" w:space="0" w:color="auto"/>
                          </w:divBdr>
                          <w:divsChild>
                            <w:div w:id="9605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79">
      <w:marLeft w:val="0"/>
      <w:marRight w:val="0"/>
      <w:marTop w:val="0"/>
      <w:marBottom w:val="0"/>
      <w:divBdr>
        <w:top w:val="none" w:sz="0" w:space="0" w:color="auto"/>
        <w:left w:val="none" w:sz="0" w:space="0" w:color="auto"/>
        <w:bottom w:val="none" w:sz="0" w:space="0" w:color="auto"/>
        <w:right w:val="none" w:sz="0" w:space="0" w:color="auto"/>
      </w:divBdr>
      <w:divsChild>
        <w:div w:id="960575779">
          <w:marLeft w:val="0"/>
          <w:marRight w:val="0"/>
          <w:marTop w:val="0"/>
          <w:marBottom w:val="0"/>
          <w:divBdr>
            <w:top w:val="none" w:sz="0" w:space="0" w:color="auto"/>
            <w:left w:val="none" w:sz="0" w:space="0" w:color="auto"/>
            <w:bottom w:val="none" w:sz="0" w:space="0" w:color="auto"/>
            <w:right w:val="none" w:sz="0" w:space="0" w:color="auto"/>
          </w:divBdr>
          <w:divsChild>
            <w:div w:id="960575859">
              <w:marLeft w:val="0"/>
              <w:marRight w:val="0"/>
              <w:marTop w:val="0"/>
              <w:marBottom w:val="0"/>
              <w:divBdr>
                <w:top w:val="none" w:sz="0" w:space="0" w:color="auto"/>
                <w:left w:val="none" w:sz="0" w:space="0" w:color="auto"/>
                <w:bottom w:val="none" w:sz="0" w:space="0" w:color="auto"/>
                <w:right w:val="none" w:sz="0" w:space="0" w:color="auto"/>
              </w:divBdr>
              <w:divsChild>
                <w:div w:id="960575821">
                  <w:marLeft w:val="0"/>
                  <w:marRight w:val="0"/>
                  <w:marTop w:val="0"/>
                  <w:marBottom w:val="0"/>
                  <w:divBdr>
                    <w:top w:val="none" w:sz="0" w:space="0" w:color="auto"/>
                    <w:left w:val="none" w:sz="0" w:space="0" w:color="auto"/>
                    <w:bottom w:val="none" w:sz="0" w:space="0" w:color="auto"/>
                    <w:right w:val="none" w:sz="0" w:space="0" w:color="auto"/>
                  </w:divBdr>
                  <w:divsChild>
                    <w:div w:id="960575813">
                      <w:marLeft w:val="0"/>
                      <w:marRight w:val="0"/>
                      <w:marTop w:val="0"/>
                      <w:marBottom w:val="0"/>
                      <w:divBdr>
                        <w:top w:val="none" w:sz="0" w:space="0" w:color="auto"/>
                        <w:left w:val="none" w:sz="0" w:space="0" w:color="auto"/>
                        <w:bottom w:val="none" w:sz="0" w:space="0" w:color="auto"/>
                        <w:right w:val="none" w:sz="0" w:space="0" w:color="auto"/>
                      </w:divBdr>
                      <w:divsChild>
                        <w:div w:id="960575863">
                          <w:marLeft w:val="0"/>
                          <w:marRight w:val="0"/>
                          <w:marTop w:val="0"/>
                          <w:marBottom w:val="0"/>
                          <w:divBdr>
                            <w:top w:val="none" w:sz="0" w:space="0" w:color="auto"/>
                            <w:left w:val="none" w:sz="0" w:space="0" w:color="auto"/>
                            <w:bottom w:val="none" w:sz="0" w:space="0" w:color="auto"/>
                            <w:right w:val="none" w:sz="0" w:space="0" w:color="auto"/>
                          </w:divBdr>
                          <w:divsChild>
                            <w:div w:id="9605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82">
      <w:marLeft w:val="0"/>
      <w:marRight w:val="0"/>
      <w:marTop w:val="0"/>
      <w:marBottom w:val="0"/>
      <w:divBdr>
        <w:top w:val="none" w:sz="0" w:space="0" w:color="auto"/>
        <w:left w:val="none" w:sz="0" w:space="0" w:color="auto"/>
        <w:bottom w:val="none" w:sz="0" w:space="0" w:color="auto"/>
        <w:right w:val="none" w:sz="0" w:space="0" w:color="auto"/>
      </w:divBdr>
      <w:divsChild>
        <w:div w:id="960575774">
          <w:marLeft w:val="0"/>
          <w:marRight w:val="0"/>
          <w:marTop w:val="0"/>
          <w:marBottom w:val="0"/>
          <w:divBdr>
            <w:top w:val="none" w:sz="0" w:space="0" w:color="auto"/>
            <w:left w:val="none" w:sz="0" w:space="0" w:color="auto"/>
            <w:bottom w:val="none" w:sz="0" w:space="0" w:color="auto"/>
            <w:right w:val="none" w:sz="0" w:space="0" w:color="auto"/>
          </w:divBdr>
          <w:divsChild>
            <w:div w:id="960575788">
              <w:marLeft w:val="0"/>
              <w:marRight w:val="0"/>
              <w:marTop w:val="0"/>
              <w:marBottom w:val="0"/>
              <w:divBdr>
                <w:top w:val="none" w:sz="0" w:space="0" w:color="auto"/>
                <w:left w:val="none" w:sz="0" w:space="0" w:color="auto"/>
                <w:bottom w:val="none" w:sz="0" w:space="0" w:color="auto"/>
                <w:right w:val="none" w:sz="0" w:space="0" w:color="auto"/>
              </w:divBdr>
              <w:divsChild>
                <w:div w:id="960575762">
                  <w:marLeft w:val="0"/>
                  <w:marRight w:val="0"/>
                  <w:marTop w:val="0"/>
                  <w:marBottom w:val="0"/>
                  <w:divBdr>
                    <w:top w:val="none" w:sz="0" w:space="0" w:color="auto"/>
                    <w:left w:val="none" w:sz="0" w:space="0" w:color="auto"/>
                    <w:bottom w:val="none" w:sz="0" w:space="0" w:color="auto"/>
                    <w:right w:val="none" w:sz="0" w:space="0" w:color="auto"/>
                  </w:divBdr>
                  <w:divsChild>
                    <w:div w:id="960575765">
                      <w:marLeft w:val="0"/>
                      <w:marRight w:val="0"/>
                      <w:marTop w:val="0"/>
                      <w:marBottom w:val="0"/>
                      <w:divBdr>
                        <w:top w:val="none" w:sz="0" w:space="0" w:color="auto"/>
                        <w:left w:val="none" w:sz="0" w:space="0" w:color="auto"/>
                        <w:bottom w:val="none" w:sz="0" w:space="0" w:color="auto"/>
                        <w:right w:val="none" w:sz="0" w:space="0" w:color="auto"/>
                      </w:divBdr>
                      <w:divsChild>
                        <w:div w:id="960575824">
                          <w:marLeft w:val="0"/>
                          <w:marRight w:val="0"/>
                          <w:marTop w:val="0"/>
                          <w:marBottom w:val="0"/>
                          <w:divBdr>
                            <w:top w:val="none" w:sz="0" w:space="0" w:color="auto"/>
                            <w:left w:val="none" w:sz="0" w:space="0" w:color="auto"/>
                            <w:bottom w:val="none" w:sz="0" w:space="0" w:color="auto"/>
                            <w:right w:val="none" w:sz="0" w:space="0" w:color="auto"/>
                          </w:divBdr>
                          <w:divsChild>
                            <w:div w:id="9605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575883">
      <w:marLeft w:val="0"/>
      <w:marRight w:val="0"/>
      <w:marTop w:val="0"/>
      <w:marBottom w:val="0"/>
      <w:divBdr>
        <w:top w:val="none" w:sz="0" w:space="0" w:color="auto"/>
        <w:left w:val="none" w:sz="0" w:space="0" w:color="auto"/>
        <w:bottom w:val="none" w:sz="0" w:space="0" w:color="auto"/>
        <w:right w:val="none" w:sz="0" w:space="0" w:color="auto"/>
      </w:divBdr>
      <w:divsChild>
        <w:div w:id="960575811">
          <w:marLeft w:val="0"/>
          <w:marRight w:val="0"/>
          <w:marTop w:val="0"/>
          <w:marBottom w:val="0"/>
          <w:divBdr>
            <w:top w:val="none" w:sz="0" w:space="0" w:color="auto"/>
            <w:left w:val="none" w:sz="0" w:space="0" w:color="auto"/>
            <w:bottom w:val="none" w:sz="0" w:space="0" w:color="auto"/>
            <w:right w:val="none" w:sz="0" w:space="0" w:color="auto"/>
          </w:divBdr>
          <w:divsChild>
            <w:div w:id="960575801">
              <w:marLeft w:val="0"/>
              <w:marRight w:val="0"/>
              <w:marTop w:val="0"/>
              <w:marBottom w:val="0"/>
              <w:divBdr>
                <w:top w:val="none" w:sz="0" w:space="0" w:color="auto"/>
                <w:left w:val="none" w:sz="0" w:space="0" w:color="auto"/>
                <w:bottom w:val="none" w:sz="0" w:space="0" w:color="auto"/>
                <w:right w:val="none" w:sz="0" w:space="0" w:color="auto"/>
              </w:divBdr>
              <w:divsChild>
                <w:div w:id="960575752">
                  <w:marLeft w:val="0"/>
                  <w:marRight w:val="0"/>
                  <w:marTop w:val="0"/>
                  <w:marBottom w:val="0"/>
                  <w:divBdr>
                    <w:top w:val="none" w:sz="0" w:space="0" w:color="auto"/>
                    <w:left w:val="none" w:sz="0" w:space="0" w:color="auto"/>
                    <w:bottom w:val="none" w:sz="0" w:space="0" w:color="auto"/>
                    <w:right w:val="none" w:sz="0" w:space="0" w:color="auto"/>
                  </w:divBdr>
                  <w:divsChild>
                    <w:div w:id="960575770">
                      <w:marLeft w:val="0"/>
                      <w:marRight w:val="0"/>
                      <w:marTop w:val="0"/>
                      <w:marBottom w:val="0"/>
                      <w:divBdr>
                        <w:top w:val="none" w:sz="0" w:space="0" w:color="auto"/>
                        <w:left w:val="none" w:sz="0" w:space="0" w:color="auto"/>
                        <w:bottom w:val="none" w:sz="0" w:space="0" w:color="auto"/>
                        <w:right w:val="none" w:sz="0" w:space="0" w:color="auto"/>
                      </w:divBdr>
                      <w:divsChild>
                        <w:div w:id="960575790">
                          <w:marLeft w:val="0"/>
                          <w:marRight w:val="0"/>
                          <w:marTop w:val="0"/>
                          <w:marBottom w:val="0"/>
                          <w:divBdr>
                            <w:top w:val="none" w:sz="0" w:space="0" w:color="auto"/>
                            <w:left w:val="none" w:sz="0" w:space="0" w:color="auto"/>
                            <w:bottom w:val="none" w:sz="0" w:space="0" w:color="auto"/>
                            <w:right w:val="none" w:sz="0" w:space="0" w:color="auto"/>
                          </w:divBdr>
                          <w:divsChild>
                            <w:div w:id="9605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hr.coe.int"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38</Pages>
  <Words>13506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c:description/>
  <cp:lastModifiedBy/>
  <cp:revision>2</cp:revision>
  <cp:lastPrinted>2017-01-09T11:21:00Z</cp:lastPrinted>
  <dcterms:created xsi:type="dcterms:W3CDTF">2018-09-19T14:35:00Z</dcterms:created>
  <dcterms:modified xsi:type="dcterms:W3CDTF">2018-09-19T14:35:00Z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