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D0" w:rsidRDefault="000B79D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79D0" w:rsidRDefault="000B79D0">
      <w:pPr>
        <w:pStyle w:val="ConsPlusNormal"/>
        <w:jc w:val="both"/>
        <w:outlineLvl w:val="0"/>
      </w:pPr>
    </w:p>
    <w:p w:rsidR="000B79D0" w:rsidRDefault="000B79D0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0B79D0" w:rsidRDefault="000B79D0">
      <w:pPr>
        <w:pStyle w:val="ConsPlusTitle"/>
        <w:jc w:val="center"/>
      </w:pPr>
    </w:p>
    <w:p w:rsidR="000B79D0" w:rsidRDefault="000B79D0">
      <w:pPr>
        <w:pStyle w:val="ConsPlusTitle"/>
        <w:jc w:val="center"/>
      </w:pPr>
      <w:r>
        <w:t>ПИСЬМО</w:t>
      </w:r>
    </w:p>
    <w:p w:rsidR="000B79D0" w:rsidRDefault="000B79D0">
      <w:pPr>
        <w:pStyle w:val="ConsPlusTitle"/>
        <w:jc w:val="center"/>
      </w:pPr>
      <w:r>
        <w:t>от 22 июня 2012 г. N 17-1/10/1-248</w:t>
      </w:r>
    </w:p>
    <w:p w:rsidR="000B79D0" w:rsidRDefault="000B79D0">
      <w:pPr>
        <w:pStyle w:val="ConsPlusTitle"/>
        <w:jc w:val="center"/>
      </w:pPr>
    </w:p>
    <w:p w:rsidR="000B79D0" w:rsidRDefault="000B79D0">
      <w:pPr>
        <w:pStyle w:val="ConsPlusTitle"/>
        <w:jc w:val="center"/>
      </w:pPr>
      <w:r>
        <w:t>О РАЗЪЯСНЕНИИ</w:t>
      </w:r>
    </w:p>
    <w:p w:rsidR="000B79D0" w:rsidRDefault="000B79D0">
      <w:pPr>
        <w:pStyle w:val="ConsPlusTitle"/>
        <w:jc w:val="center"/>
      </w:pPr>
      <w:r>
        <w:t>ПРАКТИКИ ПРИМЕНЕНИЯ СТАТЬИ 12 ФЕДЕРАЛЬНОГО</w:t>
      </w:r>
    </w:p>
    <w:p w:rsidR="000B79D0" w:rsidRDefault="000B79D0">
      <w:pPr>
        <w:pStyle w:val="ConsPlusTitle"/>
        <w:jc w:val="center"/>
      </w:pPr>
      <w:r>
        <w:t>ЗАКОНА ОТ 25 ДЕКАБРЯ 2008 Г. N 273-ФЗ</w:t>
      </w:r>
    </w:p>
    <w:p w:rsidR="000B79D0" w:rsidRDefault="000B79D0">
      <w:pPr>
        <w:pStyle w:val="ConsPlusTitle"/>
        <w:jc w:val="center"/>
      </w:pPr>
      <w:r>
        <w:t>"О ПРОТИВОДЕЙСТВИИ КОРРУПЦИИ"</w:t>
      </w: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ind w:firstLine="540"/>
        <w:jc w:val="both"/>
      </w:pPr>
      <w:proofErr w:type="gramStart"/>
      <w:r>
        <w:t xml:space="preserve">В соответствии с пунктом 2 раздела 3 протокола заседания президиума Совета при Президенте Российской Федерации по противодействию коррупции от 15 февраля 2012 г. N 31 Министерством труда и социальной защиты Российской Федерации подготовлены </w:t>
      </w:r>
      <w:hyperlink w:anchor="P22" w:history="1">
        <w:r>
          <w:rPr>
            <w:color w:val="0000FF"/>
          </w:rPr>
          <w:t>разъяснения</w:t>
        </w:r>
      </w:hyperlink>
      <w:r>
        <w:t xml:space="preserve"> практики применения </w:t>
      </w:r>
      <w:hyperlink r:id="rId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коррупции", содержащей ограничения, налагаемые на гражданина, замещавшего должность государственной или муниципальной</w:t>
      </w:r>
      <w:proofErr w:type="gramEnd"/>
      <w:r>
        <w:t xml:space="preserve">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государственных служащих и урегулированию конфликта </w:t>
      </w:r>
      <w:proofErr w:type="gramStart"/>
      <w:r>
        <w:t>интересов</w:t>
      </w:r>
      <w:proofErr w:type="gramEnd"/>
      <w:r>
        <w:t xml:space="preserve"> бывшему государственному служащему на замещение им должности в коммерческой или некоммерческой организации не требуется (прилагаются).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Во исполнение решения Руководителя Администр</w:t>
      </w:r>
      <w:bookmarkStart w:id="0" w:name="_GoBack"/>
      <w:bookmarkEnd w:id="0"/>
      <w:r>
        <w:t xml:space="preserve">ации Президента Российской Федерации, председателя президиума Совета при Президенте Российской Федерации по противодействию коррупции С.Б. Иванова указанные разъяснения направляются для использования в работе федеральными </w:t>
      </w:r>
      <w:proofErr w:type="gramStart"/>
      <w:r>
        <w:t>государственным</w:t>
      </w:r>
      <w:proofErr w:type="gramEnd"/>
      <w:r>
        <w:t xml:space="preserve"> органами.</w:t>
      </w: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jc w:val="right"/>
      </w:pPr>
      <w:r>
        <w:t>М.А.ТОПИЛИН</w:t>
      </w: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jc w:val="right"/>
        <w:outlineLvl w:val="0"/>
      </w:pPr>
      <w:r>
        <w:t>Приложение</w:t>
      </w:r>
    </w:p>
    <w:p w:rsidR="000B79D0" w:rsidRDefault="000B79D0">
      <w:pPr>
        <w:pStyle w:val="ConsPlusNormal"/>
        <w:jc w:val="right"/>
      </w:pPr>
    </w:p>
    <w:p w:rsidR="000B79D0" w:rsidRDefault="000B79D0">
      <w:pPr>
        <w:pStyle w:val="ConsPlusNormal"/>
        <w:jc w:val="center"/>
      </w:pPr>
      <w:bookmarkStart w:id="1" w:name="P22"/>
      <w:bookmarkEnd w:id="1"/>
      <w:r>
        <w:t>РАЗЪЯСНЕНИЯ</w:t>
      </w:r>
    </w:p>
    <w:p w:rsidR="000B79D0" w:rsidRDefault="000B79D0">
      <w:pPr>
        <w:pStyle w:val="ConsPlusNormal"/>
        <w:jc w:val="center"/>
      </w:pPr>
      <w:r>
        <w:t>ПРАКТИКИ ПРИМЕНЕНИЯ СТАТЬИ 12 ФЕДЕРАЛЬНОГО ЗАКОНА</w:t>
      </w:r>
    </w:p>
    <w:p w:rsidR="000B79D0" w:rsidRDefault="000B79D0">
      <w:pPr>
        <w:pStyle w:val="ConsPlusNormal"/>
        <w:jc w:val="center"/>
      </w:pPr>
      <w:r>
        <w:t>ОТ 25 ДЕКАБРЯ 2008 Г. N 273-ФЗ "О ПРОТИВОДЕЙСТВИИ</w:t>
      </w:r>
    </w:p>
    <w:p w:rsidR="000B79D0" w:rsidRDefault="000B79D0">
      <w:pPr>
        <w:pStyle w:val="ConsPlusNormal"/>
        <w:jc w:val="center"/>
      </w:pPr>
      <w:r>
        <w:t>КОРРУПЦИИ", СОДЕРЖАЩЕЙ ОГРАНИЧЕНИЯ, НАЛАГАЕМЫЕ</w:t>
      </w:r>
    </w:p>
    <w:p w:rsidR="000B79D0" w:rsidRDefault="000B79D0">
      <w:pPr>
        <w:pStyle w:val="ConsPlusNormal"/>
        <w:jc w:val="center"/>
      </w:pPr>
      <w:r>
        <w:t xml:space="preserve">НА ГРАЖДАНИНА, ЗАМЕЩАВШЕГО ДОЛЖНОСТЬ </w:t>
      </w:r>
      <w:proofErr w:type="gramStart"/>
      <w:r>
        <w:t>ГОСУДАРСТВЕННОЙ</w:t>
      </w:r>
      <w:proofErr w:type="gramEnd"/>
    </w:p>
    <w:p w:rsidR="000B79D0" w:rsidRDefault="000B79D0">
      <w:pPr>
        <w:pStyle w:val="ConsPlusNormal"/>
        <w:jc w:val="center"/>
      </w:pPr>
      <w:r>
        <w:t xml:space="preserve">ИЛИ МУНИЦИПАЛЬНОЙ СЛУЖБЫ, ПРИ ЗАКЛЮЧЕНИИ ИМ </w:t>
      </w:r>
      <w:proofErr w:type="gramStart"/>
      <w:r>
        <w:t>ТРУДОВОГО</w:t>
      </w:r>
      <w:proofErr w:type="gramEnd"/>
    </w:p>
    <w:p w:rsidR="000B79D0" w:rsidRDefault="000B79D0">
      <w:pPr>
        <w:pStyle w:val="ConsPlusNormal"/>
        <w:jc w:val="center"/>
      </w:pPr>
      <w:r>
        <w:t>ИЛИ ГРАЖДАНСКО-ПРАВОВОГО ДОГОВОРА, В ТОМ ЧИСЛЕ СЛУЧАЕВ,</w:t>
      </w:r>
    </w:p>
    <w:p w:rsidR="000B79D0" w:rsidRDefault="000B79D0">
      <w:pPr>
        <w:pStyle w:val="ConsPlusNormal"/>
        <w:jc w:val="center"/>
      </w:pPr>
      <w:r>
        <w:t>КОГДА ДАЧА СОГЛАСИЯ КОМИССИЕЙ ПО СОБЛЮДЕНИЮ ТРЕБОВАНИЙ</w:t>
      </w:r>
    </w:p>
    <w:p w:rsidR="000B79D0" w:rsidRDefault="000B79D0">
      <w:pPr>
        <w:pStyle w:val="ConsPlusNormal"/>
        <w:jc w:val="center"/>
      </w:pPr>
      <w:r>
        <w:t>К СЛУЖЕБНОМУ ПОВЕДЕНИЮ И УРЕГУЛИРОВАНИЮ КОНФЛИКТА</w:t>
      </w:r>
    </w:p>
    <w:p w:rsidR="000B79D0" w:rsidRDefault="000B79D0">
      <w:pPr>
        <w:pStyle w:val="ConsPlusNormal"/>
        <w:jc w:val="center"/>
      </w:pPr>
      <w:r>
        <w:t>ИНТЕРЕСОВ БЫВШЕМУ ГОСУДАРСТВЕННОМУ СЛУЖАЩЕМУ НА ЗАМЕЩЕНИЕ</w:t>
      </w:r>
    </w:p>
    <w:p w:rsidR="000B79D0" w:rsidRDefault="000B79D0">
      <w:pPr>
        <w:pStyle w:val="ConsPlusNormal"/>
        <w:jc w:val="center"/>
      </w:pPr>
      <w:r>
        <w:t xml:space="preserve">ИМ ДОЛЖНОСТИ </w:t>
      </w:r>
      <w:proofErr w:type="gramStart"/>
      <w:r>
        <w:t>В</w:t>
      </w:r>
      <w:proofErr w:type="gramEnd"/>
      <w:r>
        <w:t xml:space="preserve"> КОММЕРЧЕСКОЙ ИЛИ НЕКОММЕРЧЕСКОЙ</w:t>
      </w:r>
    </w:p>
    <w:p w:rsidR="000B79D0" w:rsidRDefault="000B79D0">
      <w:pPr>
        <w:pStyle w:val="ConsPlusNormal"/>
        <w:jc w:val="center"/>
      </w:pPr>
      <w:r>
        <w:t>ОРГАНИЗАЦИИ НЕ ТРЕБУЕТСЯ</w:t>
      </w: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 (далее -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0B79D0" w:rsidRDefault="000B79D0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Согласно </w:t>
      </w:r>
      <w:hyperlink r:id="rId8" w:history="1">
        <w:r>
          <w:rPr>
            <w:color w:val="0000FF"/>
          </w:rPr>
          <w:t>части 1</w:t>
        </w:r>
      </w:hyperlink>
      <w:r>
        <w:t xml:space="preserve">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- комиссия).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 xml:space="preserve">Круг лиц, на которых распространяется данное ограничение, установлен </w:t>
      </w:r>
      <w:hyperlink r:id="rId9" w:history="1">
        <w:r>
          <w:rPr>
            <w:color w:val="0000FF"/>
          </w:rPr>
          <w:t>пунктом 1</w:t>
        </w:r>
      </w:hyperlink>
      <w:r>
        <w:t xml:space="preserve"> Указа Президента Российской Федерации от 21 июля 2010 г. N 925. </w:t>
      </w:r>
      <w:proofErr w:type="gramStart"/>
      <w:r>
        <w:t xml:space="preserve">К ним относятся граждане, которые ранее замещали должность федеральной государственной службы, включенную в </w:t>
      </w:r>
      <w:hyperlink r:id="rId10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11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>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</w:t>
      </w:r>
      <w:proofErr w:type="gramEnd"/>
      <w:r>
        <w:t xml:space="preserve"> </w:t>
      </w:r>
      <w:proofErr w:type="gramStart"/>
      <w:r>
        <w:t xml:space="preserve">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2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557.</w:t>
      </w:r>
      <w:proofErr w:type="gramEnd"/>
    </w:p>
    <w:p w:rsidR="000B79D0" w:rsidRDefault="000B79D0">
      <w:pPr>
        <w:pStyle w:val="ConsPlusNormal"/>
        <w:spacing w:before="220"/>
        <w:ind w:firstLine="540"/>
        <w:jc w:val="both"/>
      </w:pPr>
      <w: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 xml:space="preserve">- включение должности государственной службы в соответствующий перечень должностей, предусмотренный </w:t>
      </w:r>
      <w:hyperlink r:id="rId13" w:history="1">
        <w:r>
          <w:rPr>
            <w:color w:val="0000FF"/>
          </w:rPr>
          <w:t>пунктом 1</w:t>
        </w:r>
      </w:hyperlink>
      <w:r>
        <w:t xml:space="preserve"> Указа Президента Российской Федерации от 21 июля 2010 г. N 925;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- 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0B79D0" w:rsidRDefault="000B79D0">
      <w:pPr>
        <w:pStyle w:val="ConsPlusNormal"/>
        <w:spacing w:before="220"/>
        <w:ind w:firstLine="540"/>
        <w:jc w:val="both"/>
      </w:pPr>
      <w:proofErr w:type="gramStart"/>
      <w:r>
        <w:t xml:space="preserve">Письменное обращение гражданина о даче согласия в соответствии с </w:t>
      </w:r>
      <w:hyperlink r:id="rId14" w:history="1">
        <w:r>
          <w:rPr>
            <w:color w:val="0000FF"/>
          </w:rPr>
          <w:t>частью 1.1 статьи 12</w:t>
        </w:r>
      </w:hyperlink>
      <w:r>
        <w:t xml:space="preserve"> Федерального закона комиссия обязана рассмотреть в течение семи дней со дня поступления указанного обращения в порядке, установленном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июня 2010 г. N 821 "О комиссиях по соблюдению требований к служебному поведению </w:t>
      </w:r>
      <w:r>
        <w:lastRenderedPageBreak/>
        <w:t>федеральных государственных служащих и урегулированию конфликта интересов" (далее - Указ), и о</w:t>
      </w:r>
      <w:proofErr w:type="gramEnd"/>
      <w:r>
        <w:t xml:space="preserve"> принятом </w:t>
      </w:r>
      <w:proofErr w:type="gramStart"/>
      <w:r>
        <w:t>решении</w:t>
      </w:r>
      <w:proofErr w:type="gramEnd"/>
      <w: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 xml:space="preserve">Заседание комиссии по указанному вопросу проводится на основании </w:t>
      </w:r>
      <w:hyperlink r:id="rId16" w:history="1">
        <w:r>
          <w:rPr>
            <w:color w:val="0000FF"/>
          </w:rPr>
          <w:t>абзаца второго подпункта б) пункта 16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- Положение), по итогам которого в соответствии с </w:t>
      </w:r>
      <w:hyperlink r:id="rId17" w:history="1">
        <w:r>
          <w:rPr>
            <w:color w:val="0000FF"/>
          </w:rPr>
          <w:t>пунктом 24</w:t>
        </w:r>
      </w:hyperlink>
      <w:r>
        <w:t xml:space="preserve"> Положения принимается одно из следующих решений: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B79D0" w:rsidRDefault="000B79D0">
      <w:pPr>
        <w:pStyle w:val="ConsPlusNormal"/>
        <w:spacing w:before="220"/>
        <w:ind w:firstLine="540"/>
        <w:jc w:val="both"/>
      </w:pPr>
      <w:proofErr w:type="gramStart"/>
      <w:r>
        <w:t xml:space="preserve">Необходимо учитывать, что в соответствии с </w:t>
      </w:r>
      <w:hyperlink r:id="rId18" w:history="1">
        <w:r>
          <w:rPr>
            <w:color w:val="0000FF"/>
          </w:rPr>
          <w:t>частью 2 статьи 12</w:t>
        </w:r>
      </w:hyperlink>
      <w:r>
        <w:t xml:space="preserve">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</w:t>
      </w:r>
      <w:hyperlink r:id="rId19" w:history="1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</w:t>
      </w:r>
      <w:proofErr w:type="gramEnd"/>
      <w:r>
        <w:t xml:space="preserve"> сведения о последнем месте своей службы. </w:t>
      </w:r>
      <w:proofErr w:type="gramStart"/>
      <w: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>
        <w:t xml:space="preserve">При информировании работодателя гражданину рекомендуется одновременно сообщить об ограничениях, налагаемых на него </w:t>
      </w:r>
      <w:hyperlink r:id="rId20" w:history="1">
        <w:r>
          <w:rPr>
            <w:color w:val="0000FF"/>
          </w:rPr>
          <w:t>статьей 12</w:t>
        </w:r>
      </w:hyperlink>
      <w:r>
        <w:t xml:space="preserve"> Федерального закона, об обязанности работодателя во исполнение </w:t>
      </w:r>
      <w:hyperlink r:id="rId21" w:history="1">
        <w:r>
          <w:rPr>
            <w:color w:val="0000FF"/>
          </w:rPr>
          <w:t>части 4 статьи 12</w:t>
        </w:r>
      </w:hyperlink>
      <w:r>
        <w:t xml:space="preserve">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700, а также о</w:t>
      </w:r>
      <w:proofErr w:type="gramEnd"/>
      <w:r>
        <w:t xml:space="preserve"> том, что неисполнение работодателем данной обязанности в соответствии с </w:t>
      </w:r>
      <w:hyperlink r:id="rId23" w:history="1">
        <w:r>
          <w:rPr>
            <w:color w:val="0000FF"/>
          </w:rPr>
          <w:t>частью 5 статьи 12</w:t>
        </w:r>
      </w:hyperlink>
      <w:r>
        <w:t xml:space="preserve"> Федерального закона является правонарушением и влечет ответственность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 xml:space="preserve">Вместе с тем принятие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</w:t>
      </w:r>
      <w:hyperlink r:id="rId25" w:history="1">
        <w:r>
          <w:rPr>
            <w:color w:val="0000FF"/>
          </w:rPr>
          <w:t>частью 3 статьи 12</w:t>
        </w:r>
      </w:hyperlink>
      <w:r>
        <w:t xml:space="preserve">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0B79D0" w:rsidRDefault="000B79D0">
      <w:pPr>
        <w:pStyle w:val="ConsPlusNormal"/>
        <w:spacing w:before="220"/>
        <w:ind w:firstLine="540"/>
        <w:jc w:val="both"/>
      </w:pPr>
      <w:proofErr w:type="gramStart"/>
      <w:r>
        <w:t xml:space="preserve"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</w:t>
      </w:r>
      <w:r>
        <w:lastRenderedPageBreak/>
        <w:t>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>
        <w:t xml:space="preserve"> организации отдельных функций государственного управления.</w:t>
      </w:r>
    </w:p>
    <w:p w:rsidR="000B79D0" w:rsidRDefault="000B79D0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6" w:history="1">
        <w:r>
          <w:rPr>
            <w:color w:val="0000FF"/>
          </w:rPr>
          <w:t>пункте 4 статьи 1</w:t>
        </w:r>
      </w:hyperlink>
      <w:r>
        <w:t xml:space="preserve">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>
        <w:t xml:space="preserve"> готовить проекты таких решений.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Случаями, когда дача согласия комиссией не требуется, являются следующие ситуации: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>гражданин переходит на работу по трудовому договору в другой государственный орган;</w:t>
      </w:r>
    </w:p>
    <w:p w:rsidR="000B79D0" w:rsidRDefault="000B79D0">
      <w:pPr>
        <w:pStyle w:val="ConsPlusNormal"/>
        <w:spacing w:before="220"/>
        <w:ind w:firstLine="540"/>
        <w:jc w:val="both"/>
      </w:pPr>
      <w:r>
        <w:t xml:space="preserve">гражданин участвует в деятельности органа управления коммерческой организацией в случаях, установленных федеральным </w:t>
      </w:r>
      <w:hyperlink r:id="rId27" w:history="1">
        <w:r>
          <w:rPr>
            <w:color w:val="0000FF"/>
          </w:rPr>
          <w:t>законом</w:t>
        </w:r>
      </w:hyperlink>
      <w:r>
        <w:t>;</w:t>
      </w:r>
    </w:p>
    <w:p w:rsidR="000B79D0" w:rsidRDefault="000B79D0">
      <w:pPr>
        <w:pStyle w:val="ConsPlusNormal"/>
        <w:spacing w:before="220"/>
        <w:ind w:firstLine="540"/>
        <w:jc w:val="both"/>
      </w:pPr>
      <w:proofErr w:type="gramStart"/>
      <w: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0B79D0" w:rsidRDefault="000B79D0">
      <w:pPr>
        <w:pStyle w:val="ConsPlusNormal"/>
        <w:spacing w:before="220"/>
        <w:ind w:firstLine="540"/>
        <w:jc w:val="both"/>
      </w:pPr>
      <w:hyperlink r:id="rId28" w:history="1">
        <w:proofErr w:type="gramStart"/>
        <w:r>
          <w:rPr>
            <w:color w:val="0000FF"/>
          </w:rPr>
          <w:t>Частью 6 статьи 12</w:t>
        </w:r>
      </w:hyperlink>
      <w:r>
        <w:t xml:space="preserve">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ind w:firstLine="540"/>
        <w:jc w:val="both"/>
      </w:pPr>
    </w:p>
    <w:p w:rsidR="000B79D0" w:rsidRDefault="000B79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1E6A" w:rsidRDefault="00191E6A"/>
    <w:sectPr w:rsidR="00191E6A" w:rsidSect="0076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D0"/>
    <w:rsid w:val="000B79D0"/>
    <w:rsid w:val="0019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79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79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D00E9B58CAE725F8EBD0525D6F14DC3F10A062A670FDE1345567790605A16F48EAF6B9RFl4J" TargetMode="External"/><Relationship Id="rId13" Type="http://schemas.openxmlformats.org/officeDocument/2006/relationships/hyperlink" Target="consultantplus://offline/ref=55D00E9B58CAE725F8EBD0525D6F14DC3C11A265AB76FDE1345567790605A16F48EAF6BAFD5307DER6l8J" TargetMode="External"/><Relationship Id="rId18" Type="http://schemas.openxmlformats.org/officeDocument/2006/relationships/hyperlink" Target="consultantplus://offline/ref=55D00E9B58CAE725F8EBD0525D6F14DC3F10A062A670FDE1345567790605A16F48EAF6B8RFlCJ" TargetMode="External"/><Relationship Id="rId26" Type="http://schemas.openxmlformats.org/officeDocument/2006/relationships/hyperlink" Target="consultantplus://offline/ref=55D00E9B58CAE725F8EBD0525D6F14DC3F10A062A670FDE1345567790605A16F48EAF6RBl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D00E9B58CAE725F8EBD0525D6F14DC3F10A062A670FDE1345567790605A16F48EAF6B8RFlEJ" TargetMode="External"/><Relationship Id="rId7" Type="http://schemas.openxmlformats.org/officeDocument/2006/relationships/hyperlink" Target="consultantplus://offline/ref=55D00E9B58CAE725F8EBD0525D6F14DC3F10A062A670FDE1345567790605A16F48EAF6B9RFl5J" TargetMode="External"/><Relationship Id="rId12" Type="http://schemas.openxmlformats.org/officeDocument/2006/relationships/hyperlink" Target="consultantplus://offline/ref=55D00E9B58CAE725F8EBD0525D6F14DC3F16A86BAB70FDE1345567790605A16F48EAF6BAFD5306D8R6l7J" TargetMode="External"/><Relationship Id="rId17" Type="http://schemas.openxmlformats.org/officeDocument/2006/relationships/hyperlink" Target="consultantplus://offline/ref=55D00E9B58CAE725F8EBD0525D6F14DC3F16A860AA74FDE1345567790605A16F48EAF6BAFD5306DER6lDJ" TargetMode="External"/><Relationship Id="rId25" Type="http://schemas.openxmlformats.org/officeDocument/2006/relationships/hyperlink" Target="consultantplus://offline/ref=55D00E9B58CAE725F8EBD0525D6F14DC3F10A062A670FDE1345567790605A16F48EAF6B8RFl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D00E9B58CAE725F8EBD0525D6F14DC3F16A860AA74FDE1345567790605A16F48EAF6BAFD5307D6R6lAJ" TargetMode="External"/><Relationship Id="rId20" Type="http://schemas.openxmlformats.org/officeDocument/2006/relationships/hyperlink" Target="consultantplus://offline/ref=55D00E9B58CAE725F8EBD0525D6F14DC3F10A062A670FDE1345567790605A16F48EAF6B9RFl5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D00E9B58CAE725F8EBD0525D6F14DC3F10A062A670FDE1345567790605A16F48EAF6B9RFl5J" TargetMode="External"/><Relationship Id="rId11" Type="http://schemas.openxmlformats.org/officeDocument/2006/relationships/hyperlink" Target="consultantplus://offline/ref=55D00E9B58CAE725F8EBD0525D6F14DC3F16A86BAB70FDE1345567790605A16F48EAF6BAFD5307DCR6lEJ" TargetMode="External"/><Relationship Id="rId24" Type="http://schemas.openxmlformats.org/officeDocument/2006/relationships/hyperlink" Target="consultantplus://offline/ref=55D00E9B58CAE725F8EBD0525D6F14DC3F13A164A572FDE1345567790605A16F48EAF6B8FD5BR0l7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D00E9B58CAE725F8EBD0525D6F14DC3F16A860AA74FDE13455677906R0l5J" TargetMode="External"/><Relationship Id="rId23" Type="http://schemas.openxmlformats.org/officeDocument/2006/relationships/hyperlink" Target="consultantplus://offline/ref=55D00E9B58CAE725F8EBD0525D6F14DC3F10A062A670FDE1345567790605A16F48EAF6BAFD5306DER6l6J" TargetMode="External"/><Relationship Id="rId28" Type="http://schemas.openxmlformats.org/officeDocument/2006/relationships/hyperlink" Target="consultantplus://offline/ref=55D00E9B58CAE725F8EBD0525D6F14DC3F10A062A670FDE1345567790605A16F48EAF6B8RFl9J" TargetMode="External"/><Relationship Id="rId10" Type="http://schemas.openxmlformats.org/officeDocument/2006/relationships/hyperlink" Target="consultantplus://offline/ref=55D00E9B58CAE725F8EBD0525D6F14DC3F16A86BAB70FDE1345567790605A16F48EAF6BAFD5307DFR6l8J" TargetMode="External"/><Relationship Id="rId19" Type="http://schemas.openxmlformats.org/officeDocument/2006/relationships/hyperlink" Target="consultantplus://offline/ref=55D00E9B58CAE725F8EBD0525D6F14DC3F10A062A670FDE1345567790605A16F48EAF6B9RFl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D00E9B58CAE725F8EBD0525D6F14DC3C11A265AB76FDE1345567790605A16F48EAF6BAFD5307DER6l8J" TargetMode="External"/><Relationship Id="rId14" Type="http://schemas.openxmlformats.org/officeDocument/2006/relationships/hyperlink" Target="consultantplus://offline/ref=55D00E9B58CAE725F8EBD0525D6F14DC3F10A062A670FDE1345567790605A16F48EAF6B8RFlDJ" TargetMode="External"/><Relationship Id="rId22" Type="http://schemas.openxmlformats.org/officeDocument/2006/relationships/hyperlink" Target="consultantplus://offline/ref=55D00E9B58CAE725F8EBD0525D6F14DC3C11A467AB75FDE13455677906R0l5J" TargetMode="External"/><Relationship Id="rId27" Type="http://schemas.openxmlformats.org/officeDocument/2006/relationships/hyperlink" Target="consultantplus://offline/ref=55D00E9B58CAE725F8EBD0525D6F14DC3F10A062A670FDE13455677906R0l5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2017-10-18T09:37:00Z</dcterms:created>
  <dcterms:modified xsi:type="dcterms:W3CDTF">2017-10-18T09:44:00Z</dcterms:modified>
</cp:coreProperties>
</file>