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CA" w:rsidRDefault="005B06CA" w:rsidP="005B06CA">
      <w:pPr>
        <w:pStyle w:val="a3"/>
      </w:pPr>
      <w:r>
        <w:t>Прокуратура Забайкальского края проводит конкурсы на замещение вакантных должностей федеральной государственной гражданской службы: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- ведущего специалиста отдела правовой статистики, информационных технологий и защиты информации;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ведущего специалиста прокуратуры Чернышевского района.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I. К претенденту на замещение вакантной должности федеральной государственной гражданской службы ведущего специалиста </w:t>
      </w:r>
      <w:proofErr w:type="gramStart"/>
      <w:r>
        <w:t>отдела  правовой</w:t>
      </w:r>
      <w:proofErr w:type="gramEnd"/>
      <w:r>
        <w:t xml:space="preserve"> статистики, информационных технологий и защиты информации предъявляются следующие квалификационные требования: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         1. наличие высшего образования не ниже уровня </w:t>
      </w:r>
      <w:proofErr w:type="spellStart"/>
      <w:r>
        <w:t>бакалавриата</w:t>
      </w:r>
      <w:proofErr w:type="spellEnd"/>
      <w:r>
        <w:t xml:space="preserve"> по специальности (направлению подготовки)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  «информационная безопасность автоматизированных систем», «прикладная информатика в экономике», «математика» и иным специальностям, направлениям подготовки, соответствующим функциям и задачам, возложенным на отдел; без предъявления требований к стажу работы.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 2. наличие следующих базовых знаний и умений: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 - знание государственного языка Российской Федерации (русского языка);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 - правовые знания основ: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Конституции Российской Федерации;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Федерального закона от 27 мая 2003 г. № 58-ФЗ «О системе государственной службы Российской Федерации»;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Федерального закона от 27 июля 2004 г. № 79-ФЗ                                    </w:t>
      </w:r>
      <w:proofErr w:type="gramStart"/>
      <w:r>
        <w:t>   «</w:t>
      </w:r>
      <w:proofErr w:type="gramEnd"/>
      <w:r>
        <w:t>О государственной гражданской службе Российской Федерации» (далее – Федеральный закон № 79-ФЗ);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Федерального закона от 25 декабря 2008 г. № 273-ФЗ                               </w:t>
      </w:r>
      <w:proofErr w:type="gramStart"/>
      <w:r>
        <w:t>   «</w:t>
      </w:r>
      <w:proofErr w:type="gramEnd"/>
      <w:r>
        <w:t>О противодействии коррупции»;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знания и умения в области информационно-коммуникационных технологий;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умение мыслить системно;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 умение планировать, рационально использовать служебное время и достигать результата;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коммуникативные умения;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умение управлять изменениями.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3. наличие следующих профессионально-функциональных знаний и умений: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в области законодательства Российской Федерации: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1. Федеральный закон от 21 июля 2003 г. № 126-ФЗ «О связи».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2. Федеральный закон от 27 июля 2006 г.  № 149-ФЗ «Об информации, информационных технологиях и о защите информации».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lastRenderedPageBreak/>
        <w:t>3.  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4.  Федеральный закон от 27 июля 2006 г.  № 152-ФЗ «О персональных данных».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5.  Федеральный закон от 6 апреля 2011 г.  № 63-ФЗ «Об электронной подписи».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6. 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7. Постановление Правительства Российской Федерации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 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8.  Постановление Правительства Российской Федерации от 18 февраля 2005 г.  № 87 «Об утверждении перечня наименований услуг связи, вносимых в лицензии, и перечней лицензионных условий».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9.  Постановление Правительства Российской Федерации от 15 апреля 2014 г.  № 313 «Об утверждении государственной программы Российской Федерации «Информационное общество (2011-2020 годы)».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10.  Постановление Правительства Российской Федерации от 10.09.2009 № 723 «О порядке ввода в эксплуатацию отдельных государственных информационных систем». 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4. На гражданского служащего, замещающего должность ведущего специалиста отдела, в пределах его компетенции возложены следующие должностные обязанности: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1. Выполнение мер по организации работы компьютерной техники и работы локальной сети в прокуратуре Забайкальского края и </w:t>
      </w:r>
      <w:proofErr w:type="spellStart"/>
      <w:r>
        <w:t>межрайспецпрокуратурах</w:t>
      </w:r>
      <w:proofErr w:type="spellEnd"/>
      <w:r>
        <w:t xml:space="preserve"> края.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2. Проводить мероприятия по соблюдению на объекте информатизации требований по обеспечению защиты информации, порядка обращения с машинописными носителями информации и прав применения средств защиты секретной информации от несанкционированного доступа в соответствии с приказом прокурора края от 16.03.2018 г. № 19.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3. Осуществление мер по обеспечению функционирования вычислительного комплекса территориальной информационно-вычислительной сети ИСОП и средств ее защиты.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4. Организация проведения проверок состояния информационной работы в органах прокуратуры Забайкальского края, технической эксплуатации компьютерной техники.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5. Обслуживание </w:t>
      </w:r>
      <w:proofErr w:type="gramStart"/>
      <w:r>
        <w:t>рабочих станций</w:t>
      </w:r>
      <w:proofErr w:type="gramEnd"/>
      <w:r>
        <w:t xml:space="preserve"> подключенных к ИСОП.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6. Администрирование сети, создание и контроль доступа пользователей к ресурсам локальной сети.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7. Обучение и консультирование по вопросам применения пользователями системного и специального программного обеспечения.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8. Проведение диагностики неисправностей компьютерной техники и </w:t>
      </w:r>
      <w:proofErr w:type="spellStart"/>
      <w:proofErr w:type="gramStart"/>
      <w:r>
        <w:t>орг.техники</w:t>
      </w:r>
      <w:proofErr w:type="spellEnd"/>
      <w:proofErr w:type="gramEnd"/>
      <w:r>
        <w:t>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9. Ремонт, настройку компьютерной техники и орг. техники.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10. Техническое обеспечение работы в </w:t>
      </w:r>
      <w:proofErr w:type="spellStart"/>
      <w:r>
        <w:t>Internet</w:t>
      </w:r>
      <w:proofErr w:type="spellEnd"/>
      <w:r>
        <w:t xml:space="preserve"> в том числе с электронной почтой.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Условия прохождения гражданской службы: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 Пятидневная служебная неделя (выходные дни – суббота и воскресенье, нерабочие праздничные дни).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Продолжительность ежегодного оплачиваемого отпуска устанавливается в соответствии со статьей 48 Федерального закона № 79-ФЗ.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В соответствии со статьей 50 Федерального закона и Указом Президента Российской Федерации от 25 июля 2006 г. № 763 «О денежном содержании федеральных государственных гражданских служащих» месячный оклад государственного гражданского служащего в соответствии с замещаемой им должностью гражданской службы (далее соответственно – гражданский служащий, должностной оклад) составляет 4 563 руб., ежемесячное денежное поощрение 1,0, ежемесячная надбавка к должностному окладу за особые условия гражданской службы 60-90 %, а также иные выплаты.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минимальный размер денежного содержания составляет: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19000 </w:t>
      </w:r>
      <w:proofErr w:type="spellStart"/>
      <w:r>
        <w:t>руб</w:t>
      </w:r>
      <w:proofErr w:type="spellEnd"/>
      <w:r>
        <w:t>/мес. (без учета премий за выполнение особо важных и сложных заданий).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       Командировки: 10% служебного времени.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II. К претенденту на замещение вакантной должности ведущего специалиста прокуратуры Чернышевского района предъявляются следующие квалификационные требования: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1. Гражданский служащий, замещающий должность ведущего специалиста, должен иметь высшее образование, по направлению подготовки (специальностям) профессионального образования «Государственное и муниципальное управление», «Документоведение и архивоведение», «Менеджмент», «Управление персоналом», «Бухгалтерский учет, анализ и аудит», «Экономика и управление на предприятии (по отраслям)», «Экономика и управление на предприятии (агропромышленного комплекса)» либо «Юриспруденция»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указанному в предыдущих перечнях профессий, специальностей и направлений подготовки.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2. наличие следующих базовых знаний и умений: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знание государственного языка Российской Федерации (русского языка);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правовые знания основ: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 Конституции Российской Федерации;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 Федерального закона от 27 мая 2003 г. № 58-ФЗ «О системе государственной службы Российской Федерации»;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 Федерального закона от 27 июля 2004 г. № 79-ФЗ                                    </w:t>
      </w:r>
      <w:proofErr w:type="gramStart"/>
      <w:r>
        <w:t>   «</w:t>
      </w:r>
      <w:proofErr w:type="gramEnd"/>
      <w:r>
        <w:t>О государственной гражданской службе Российской Федерации» (далее – Федеральный закон № 79-ФЗ);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  Федерального закона от 25 декабря 2008 г. № 273-ФЗ                               </w:t>
      </w:r>
      <w:proofErr w:type="gramStart"/>
      <w:r>
        <w:t>   «</w:t>
      </w:r>
      <w:proofErr w:type="gramEnd"/>
      <w:r>
        <w:t>О противодействии коррупции»;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знания и умения в области информационно-коммуникационных технологий;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умение мыслить системно;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 умение планировать, рационально использовать служебное время и достигать результата;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коммуникативные умения;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умение управлять изменениями.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lastRenderedPageBreak/>
        <w:t xml:space="preserve">Ведущий специалист прокуратуры Чернышевского района обязан: осуществлять в соответствии с требованиями Инструкции 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29.12.2011г.  № 450 (далее Инструкция) работу по документационному обеспечению; участвовать в составлении номенклатуры дел, формировать дела (наряды), надзорные и наблюдательные производства и т.д. в соответствии с утвержденной номенклатурой, обеспечивать их сохранность; осуществлять прием, регистрацию, учет поступающих и отправление исходящих документов; обеспечивать своевременную передачу их прокурору и исполнителям, доставку по назначению; осуществлять контроль за сроками исполнения документов, правильностью их оформления, возвращать на доработку документы, оформленные с нарушением требований Инструкции; производить регистрацию входящей, исходящей корреспонденции, жалоб (обращений), уголовных дел; заполнять необходимые строки и графы в статистических карточках; вести соответствующие книги и карточки учета, предусмотренные Инструкцией; своевременно оформлять в соответствии с Инструкцией дела, надзорные и наблюдательные производства; обеспечивать совершенствование делопроизводства, повышать квалификацию сотрудников в этой сфере; вести работу по архивному делу, в том числе готовить документы с истекшими сроками хранения на уничтожение (с составлением акта), сдачу на государственное хранение документов постоянного срока хранения в Государственный архив; ежемесячно до 7 числа составлять сводку о документообороте; своевременно снабжать сотрудников прокуратуры канцелярскими товарами, бланками и учетно-регистрационными формами, предусмотренными Инструкцией; осуществлять контроль за техническим состоянием и правильной эксплуатацией бытовой и оргтехники; получать и выдавать в установленном порядке денежные средства, обеспечивать их целевого использование и сохранность; составлять финансовые отчеты, ежемесячно (до 5 числа месяца, следующего за отчетным) и ежеквартально (до 25 числа последнего месяца квартала) предоставлять в отдел планирования труда, финансового, бухгалтерского учета и отчетности прокуратуры края (далее бухгалтерия); проводить ежегодную инвентаризацию товарно-материальных ценностей, в установленные сроки направлять утвержденные прокурором документы об инвентаризации в бухгалтерию; выдавать путевые листы и составлять отчеты по автотранспорту, направлять их до 5 числа, следующего за отчетным месяцем в бухгалтерию прокуратуры края; ежеквартально снимать остатки спидометра с составлением акта; получать счета-фактуры у обслуживающих организаций (тепло-, электроэнергия, охрана зданий и помещений, услуги связи и т.п.), подписывать у прокурора акты выполненных работ (оказанных услуг), накладных, удостоверять их печатью прокуратуры и своевременно направлять в бухгалтерию; своевременно направлять в бухгалтерию приказы прокурора о приеме, увольнении, предоставлении очередных отпусков, привлечении к дисциплинарной ответственности (водителя), а также копии их документов, необходимых при приеме на работу; вести табель учета рабочего времени сотрудников прокуратуры, предоставлять в бухгалтерию до 10 числа табель за 1 половину месяца, до 18 числа – за месяц; заполнять в листах нетрудоспособности (истопника и водителя) сведения о стаже работы; выполнять иные обязанности в соответствии с законодательством и по поручению прокурора; в связи с производственной необходимостью выезжать в служебные командировки для проверки состояния делопроизводства (в </w:t>
      </w:r>
      <w:proofErr w:type="spellStart"/>
      <w:r>
        <w:t>т.ч</w:t>
      </w:r>
      <w:proofErr w:type="spellEnd"/>
      <w:r>
        <w:t>. с оказанием практической помощи).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lastRenderedPageBreak/>
        <w:t>3. Права и ответственность за неисполнение (ненадлежащее) исполнение должностных обязанностей государственных гражданских служащих установлены Федеральным законом № 79-ФЗ.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4. Эффективность профессиональной служебной деятельности оценивается по следующим показателям: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профессионализм: профессиональная компетентность (знание нормативных правовых актов; способность четко организовывать и планировать работу, расставлять приоритеты; осознание ответственности за последствия своих действий, принимаемых решений;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своевременное выполнение поручений;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качество выполненной работы - подготовка документов, соответствующих требованиям законодательства Российской Федерации,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количество и объем мероприятий, в подготовке и проведении которых принимал участие гражданский служащий;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интенсивность труда - способность в короткие сроки выполнять определенный объем работ;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наличие у гражданского служащего поощрений за безупречную и эффективную службу;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оценка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Российской Федерации случаях) или иных показателей;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осознанию ответственности за последствия своих действий.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5. Прием документов осуществляется по адресу: ул. Амурская, 71, кабинет 66, г. Чита, Забайкальский край, 672002, телефон: 8(3022) 35-76-94, факс: 35-83-26, e-</w:t>
      </w:r>
      <w:proofErr w:type="spellStart"/>
      <w:r>
        <w:t>mail</w:t>
      </w:r>
      <w:proofErr w:type="spellEnd"/>
      <w:r>
        <w:t>: kadr@prokzabkray.ru.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6. Начало приема документов для участия в конкурсах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“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11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”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февраля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202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0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г.,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окончание “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02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”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марта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202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0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г.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Документы принимаются ежедневно с 9.00 до 18.00, в пятницу до 16.45, кроме выходных (суббота и воскресенье) и нерабочих </w:t>
      </w:r>
      <w:proofErr w:type="gramStart"/>
      <w:r>
        <w:t>праздничных  дней</w:t>
      </w:r>
      <w:proofErr w:type="gramEnd"/>
      <w:r>
        <w:t>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Предполагаемая дата проведения второго этапа конкурсов – 20 марта 2020 г.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Место проведения: ул. Амурская, 71, г. Чита, Забайкальский край.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О точных сведениях о дате, месте и времени проведения второго этапа конкурсов будет сообщено дополнительно, не позднее чем за 15 дней до его начала.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7. Для участия в конкурсе представляются следующие документы в прокуратуру Забайкальского края: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а) собственноручно написанное личное заявление (Приложение № 1);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б) анкета по форме, утвержденной распоряжением Правительства Российской Федерации от 26.05.2005 № 667-р (заполняется собственноручно) (Приложение № 2);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в)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фамилия, имя, отчество,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г) копия паспорта и копии свидетельств о государственной регистрации актов гражданского состояния;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д) документы, подтверждающие необходимое профессиональное образование, стаж работы и квалификацию: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е) копия военного билета (всех листов) или приписного свидетельства (послужной список);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ж) заключение медицинского учреждения об отсутствии заболевания, препятствующего поступлению на государственную гражданскую службу Российской Федерации (приказ </w:t>
      </w:r>
      <w:proofErr w:type="spellStart"/>
      <w:r>
        <w:t>Минздравсоцразвития</w:t>
      </w:r>
      <w:proofErr w:type="spellEnd"/>
      <w:r>
        <w:t xml:space="preserve"> РФ от 14.12.2009 № 984н, форма № 001-ГС/у), справки из психоневрологического и наркологического диспансеров (Приложение № 3);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з) фото 3,5х4,5 – 4 шт. (цветное без уголка, фон белый матовый, форма одежды - строгая);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(Указ Президента Российской Федерации от 23.06.2014 № 460 в ред. от 09.10.2017 № 472)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к) документ, подтверждающий отсутствие гражданства другого государства, лицам независимо от места рождения, не имевшим на 06.02.1992 (на 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л) сведения об адресах сайтов и (или) страниц сайтов в информационно-телекоммуникационной сети «Интернет», на которых он (гражданин, гражданский служащий) размещал общедоступную информацию, а также данные, позволяющие его (гражданина, гражданского служащего) идентифицировать за три календарных года, предшествующих 2019 году. (Приложение № 4).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8. В рамках конкуров будут применяться следующие методы оценки: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lastRenderedPageBreak/>
        <w:t> 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- индивидуальное собеседование </w:t>
      </w:r>
      <w:proofErr w:type="spellStart"/>
      <w:r>
        <w:t>конкурсно</w:t>
      </w:r>
      <w:proofErr w:type="spellEnd"/>
      <w:r>
        <w:t>-аттестационной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Посредством указанных методов оценки кроме оценки граждан (гражданских служащих), допущенных к участию в конкурсе (далее- кандидаты) на соответствие квалификационным требованиям, будут оцениваться также такие их профессиональные и личностные качества, как: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стратегическое мышление;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командное взаимодействие;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персональная эффективность;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- гибкость и готовность к изменениям.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Все кандидаты приглашаются на индивидуальное собеседование </w:t>
      </w:r>
      <w:proofErr w:type="spellStart"/>
      <w:r>
        <w:t>конкурсно</w:t>
      </w:r>
      <w:proofErr w:type="spellEnd"/>
      <w:r>
        <w:t>-аттестационной комиссии с кандидатами.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Итоговый балл кандидата определяется как сумма среднего арифметического баллов, выставленных членами </w:t>
      </w:r>
      <w:proofErr w:type="spellStart"/>
      <w:r>
        <w:t>конкурсно</w:t>
      </w:r>
      <w:proofErr w:type="spellEnd"/>
      <w:r>
        <w:t>-аттестационной комиссии, и баллов, набранных по результатам тестирования.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9. Рейтинг кандидатов формируется в зависимости от набранных ими итоговых баллов в порядке убывания.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lastRenderedPageBreak/>
        <w:t xml:space="preserve">10. С целью оценки профессионального уровня Вы можете самостоятельно пройти   предварительный    квалификационный </w:t>
      </w:r>
      <w:proofErr w:type="gramStart"/>
      <w:r>
        <w:t>тест,   </w:t>
      </w:r>
      <w:proofErr w:type="gramEnd"/>
      <w:r>
        <w:t>   размещенный  по адресу: https://gossluzhba.gov.ru в разделе «Образование» / «Тесты для самопроверки», или на официальном сайте Минтруда России по адресу: https://rosmintrud.ru/ministry/govserv/vacancy. Данный тест содержит вопросы на соответствие базовым квалификационным требованиям. Результаты прохождения данного теста не учитываются при принятии решения о допуске ко второму этапу конкурса.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>11.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B06CA" w:rsidRDefault="005B06CA" w:rsidP="005B06CA">
      <w:pPr>
        <w:pStyle w:val="a3"/>
      </w:pPr>
    </w:p>
    <w:p w:rsidR="005B06CA" w:rsidRDefault="005B06CA" w:rsidP="005B06CA">
      <w:pPr>
        <w:pStyle w:val="a3"/>
      </w:pPr>
      <w:r>
        <w:t xml:space="preserve">12. Кандидат вправе обжаловать решения </w:t>
      </w:r>
      <w:proofErr w:type="spellStart"/>
      <w:r>
        <w:t>конкурсно</w:t>
      </w:r>
      <w:proofErr w:type="spellEnd"/>
      <w:r>
        <w:t>-аттестационной комиссии в соответствии с законодательством Российской Федерации.</w:t>
      </w:r>
    </w:p>
    <w:p w:rsidR="00067265" w:rsidRDefault="00067265">
      <w:bookmarkStart w:id="0" w:name="_GoBack"/>
      <w:bookmarkEnd w:id="0"/>
    </w:p>
    <w:sectPr w:rsidR="0006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CA"/>
    <w:rsid w:val="00067265"/>
    <w:rsid w:val="005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EFFDB-C9F3-4431-A3AA-F558C015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3036</Words>
  <Characters>17308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2020-04-14T11:50:00Z</dcterms:created>
  <dcterms:modified xsi:type="dcterms:W3CDTF">2020-04-14T11:50:00Z</dcterms:modified>
</cp:coreProperties>
</file>