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F80" w:rsidRDefault="00D10F80" w:rsidP="00F30C0C">
      <w:pPr>
        <w:spacing w:after="0" w:line="240" w:lineRule="auto"/>
        <w:ind w:left="5812"/>
        <w:rPr>
          <w:rFonts w:ascii="Times New Roman" w:hAnsi="Times New Roman"/>
        </w:rPr>
      </w:pPr>
      <w:r>
        <w:rPr>
          <w:rFonts w:ascii="Times New Roman" w:hAnsi="Times New Roman"/>
        </w:rPr>
        <w:t xml:space="preserve">Приложение № 9  </w:t>
      </w:r>
    </w:p>
    <w:p w:rsidR="00D10F80" w:rsidRDefault="00D10F80" w:rsidP="00F30C0C">
      <w:pPr>
        <w:spacing w:after="0" w:line="240" w:lineRule="auto"/>
        <w:ind w:left="5812"/>
        <w:rPr>
          <w:rFonts w:ascii="Times New Roman" w:hAnsi="Times New Roman"/>
        </w:rPr>
      </w:pPr>
      <w:r>
        <w:rPr>
          <w:rFonts w:ascii="Times New Roman" w:hAnsi="Times New Roman"/>
        </w:rPr>
        <w:t>к приказу Уральской транспортной</w:t>
      </w:r>
    </w:p>
    <w:p w:rsidR="00D10F80" w:rsidRDefault="00D10F80" w:rsidP="00F30C0C">
      <w:pPr>
        <w:spacing w:after="0" w:line="240" w:lineRule="auto"/>
        <w:ind w:left="5812"/>
        <w:rPr>
          <w:rFonts w:ascii="Times New Roman" w:hAnsi="Times New Roman"/>
        </w:rPr>
      </w:pPr>
      <w:r>
        <w:rPr>
          <w:rFonts w:ascii="Times New Roman" w:hAnsi="Times New Roman"/>
        </w:rPr>
        <w:t xml:space="preserve">прокуратуры </w:t>
      </w:r>
    </w:p>
    <w:p w:rsidR="00D10F80" w:rsidRDefault="00D10F80" w:rsidP="00F30C0C">
      <w:pPr>
        <w:spacing w:after="0" w:line="240" w:lineRule="auto"/>
        <w:ind w:left="5812"/>
        <w:rPr>
          <w:rFonts w:ascii="Times New Roman" w:hAnsi="Times New Roman"/>
        </w:rPr>
      </w:pPr>
      <w:r>
        <w:rPr>
          <w:rFonts w:ascii="Times New Roman" w:hAnsi="Times New Roman"/>
        </w:rPr>
        <w:t>от _________________№ _________</w:t>
      </w:r>
    </w:p>
    <w:p w:rsidR="00D10F80" w:rsidRPr="00D52226" w:rsidRDefault="00D10F80" w:rsidP="00F30C0C">
      <w:pPr>
        <w:autoSpaceDE w:val="0"/>
        <w:autoSpaceDN w:val="0"/>
        <w:adjustRightInd w:val="0"/>
        <w:spacing w:after="0" w:line="240" w:lineRule="auto"/>
        <w:ind w:firstLine="540"/>
        <w:jc w:val="both"/>
        <w:outlineLvl w:val="2"/>
        <w:rPr>
          <w:rFonts w:ascii="Times New Roman" w:hAnsi="Times New Roman"/>
          <w:sz w:val="26"/>
          <w:szCs w:val="26"/>
          <w:lang w:eastAsia="ru-RU"/>
        </w:rPr>
      </w:pPr>
    </w:p>
    <w:p w:rsidR="00D10F80" w:rsidRPr="00FB04AE" w:rsidRDefault="00D10F80" w:rsidP="00F30C0C">
      <w:pPr>
        <w:keepNext/>
        <w:tabs>
          <w:tab w:val="left" w:pos="851"/>
        </w:tabs>
        <w:spacing w:after="0" w:line="240" w:lineRule="auto"/>
        <w:jc w:val="center"/>
        <w:outlineLvl w:val="1"/>
        <w:rPr>
          <w:rFonts w:ascii="Times New Roman" w:hAnsi="Times New Roman"/>
          <w:b/>
          <w:bCs/>
          <w:iCs/>
          <w:sz w:val="32"/>
          <w:szCs w:val="32"/>
        </w:rPr>
      </w:pPr>
      <w:bookmarkStart w:id="0" w:name="_Toc406402452"/>
      <w:r>
        <w:rPr>
          <w:rFonts w:ascii="Times New Roman" w:hAnsi="Times New Roman"/>
          <w:b/>
          <w:bCs/>
          <w:iCs/>
          <w:sz w:val="32"/>
          <w:szCs w:val="32"/>
        </w:rPr>
        <w:t xml:space="preserve">   </w:t>
      </w:r>
      <w:r w:rsidRPr="00FB04AE">
        <w:rPr>
          <w:rFonts w:ascii="Times New Roman" w:hAnsi="Times New Roman"/>
          <w:b/>
          <w:bCs/>
          <w:iCs/>
          <w:sz w:val="32"/>
          <w:szCs w:val="32"/>
        </w:rPr>
        <w:t xml:space="preserve">Порядок проведения инвентаризации </w:t>
      </w:r>
      <w:r>
        <w:rPr>
          <w:rFonts w:ascii="Times New Roman" w:hAnsi="Times New Roman"/>
          <w:b/>
          <w:bCs/>
          <w:iCs/>
          <w:sz w:val="32"/>
          <w:szCs w:val="32"/>
        </w:rPr>
        <w:br/>
        <w:t>имущества</w:t>
      </w:r>
      <w:r w:rsidRPr="00FB04AE">
        <w:rPr>
          <w:rFonts w:ascii="Times New Roman" w:hAnsi="Times New Roman"/>
          <w:b/>
          <w:bCs/>
          <w:iCs/>
          <w:sz w:val="32"/>
          <w:szCs w:val="32"/>
        </w:rPr>
        <w:t xml:space="preserve"> и обязательств</w:t>
      </w:r>
    </w:p>
    <w:p w:rsidR="00D10F80" w:rsidRDefault="00D10F80" w:rsidP="00F30C0C">
      <w:pPr>
        <w:spacing w:after="0" w:line="240" w:lineRule="auto"/>
        <w:ind w:firstLine="567"/>
        <w:jc w:val="both"/>
        <w:rPr>
          <w:rFonts w:ascii="Times New Roman" w:hAnsi="Times New Roman"/>
          <w:bCs/>
          <w:sz w:val="28"/>
          <w:szCs w:val="28"/>
          <w:lang w:eastAsia="ru-RU"/>
        </w:rPr>
      </w:pP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bCs/>
          <w:sz w:val="28"/>
          <w:szCs w:val="28"/>
          <w:lang w:eastAsia="ru-RU"/>
        </w:rPr>
        <w:t xml:space="preserve">   Настоящий порядок проведения инвентаризации </w:t>
      </w:r>
      <w:r>
        <w:rPr>
          <w:rFonts w:ascii="Times New Roman" w:hAnsi="Times New Roman"/>
          <w:bCs/>
          <w:sz w:val="28"/>
          <w:szCs w:val="28"/>
          <w:lang w:eastAsia="ru-RU"/>
        </w:rPr>
        <w:t>имущества</w:t>
      </w:r>
      <w:r w:rsidRPr="00FB04AE">
        <w:rPr>
          <w:rFonts w:ascii="Times New Roman" w:hAnsi="Times New Roman"/>
          <w:bCs/>
          <w:sz w:val="28"/>
          <w:szCs w:val="28"/>
          <w:lang w:eastAsia="ru-RU"/>
        </w:rPr>
        <w:t xml:space="preserve"> и обязательств (далее – Порядок) разработан в соответствии со следующими документами</w:t>
      </w:r>
      <w:r w:rsidRPr="00FB04AE">
        <w:rPr>
          <w:rFonts w:ascii="Times New Roman" w:hAnsi="Times New Roman"/>
          <w:sz w:val="28"/>
          <w:szCs w:val="28"/>
          <w:lang w:eastAsia="ru-RU"/>
        </w:rPr>
        <w:t>:</w:t>
      </w:r>
    </w:p>
    <w:p w:rsidR="00D10F80" w:rsidRDefault="00D10F80" w:rsidP="00F30C0C">
      <w:pPr>
        <w:widowControl w:val="0"/>
        <w:tabs>
          <w:tab w:val="left" w:pos="1134"/>
        </w:tabs>
        <w:autoSpaceDE w:val="0"/>
        <w:autoSpaceDN w:val="0"/>
        <w:adjustRightInd w:val="0"/>
        <w:spacing w:after="0" w:line="240" w:lineRule="auto"/>
        <w:ind w:left="142" w:firstLine="709"/>
        <w:contextualSpacing/>
        <w:jc w:val="both"/>
        <w:rPr>
          <w:rFonts w:ascii="Times New Roman" w:hAnsi="Times New Roman"/>
          <w:sz w:val="28"/>
          <w:szCs w:val="28"/>
          <w:lang w:eastAsia="ru-RU"/>
        </w:rPr>
      </w:pPr>
      <w:r w:rsidRPr="00FB04AE">
        <w:rPr>
          <w:rFonts w:ascii="Times New Roman" w:hAnsi="Times New Roman"/>
          <w:sz w:val="28"/>
          <w:szCs w:val="28"/>
          <w:lang w:eastAsia="ru-RU"/>
        </w:rPr>
        <w:t>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w:t>
      </w:r>
    </w:p>
    <w:p w:rsidR="00D10F80" w:rsidRPr="00FB04AE" w:rsidRDefault="00D10F80" w:rsidP="00F30C0C">
      <w:pPr>
        <w:widowControl w:val="0"/>
        <w:tabs>
          <w:tab w:val="left" w:pos="1134"/>
        </w:tabs>
        <w:autoSpaceDE w:val="0"/>
        <w:autoSpaceDN w:val="0"/>
        <w:adjustRightInd w:val="0"/>
        <w:spacing w:after="0" w:line="240" w:lineRule="auto"/>
        <w:ind w:left="142" w:firstLine="709"/>
        <w:contextualSpacing/>
        <w:jc w:val="both"/>
        <w:rPr>
          <w:rFonts w:ascii="Times New Roman" w:hAnsi="Times New Roman"/>
          <w:sz w:val="28"/>
          <w:szCs w:val="28"/>
          <w:lang w:eastAsia="ru-RU"/>
        </w:rPr>
      </w:pPr>
      <w:r w:rsidRPr="00FB04AE">
        <w:rPr>
          <w:rFonts w:ascii="Times New Roman" w:hAnsi="Times New Roman"/>
          <w:sz w:val="28"/>
          <w:szCs w:val="28"/>
          <w:lang w:eastAsia="ru-RU"/>
        </w:rPr>
        <w:t xml:space="preserve"> Методические указания по инвентаризации имущества и финансовых обязательств, утвержденных Приказом Минфина России от 13.06.1995 </w:t>
      </w:r>
      <w:r>
        <w:rPr>
          <w:rFonts w:ascii="Times New Roman" w:hAnsi="Times New Roman"/>
          <w:sz w:val="28"/>
          <w:szCs w:val="28"/>
          <w:lang w:eastAsia="ru-RU"/>
        </w:rPr>
        <w:br/>
      </w:r>
      <w:r w:rsidRPr="00FB04AE">
        <w:rPr>
          <w:rFonts w:ascii="Times New Roman" w:hAnsi="Times New Roman"/>
          <w:sz w:val="28"/>
          <w:szCs w:val="28"/>
          <w:lang w:eastAsia="ru-RU"/>
        </w:rPr>
        <w:t>№ 49;</w:t>
      </w:r>
    </w:p>
    <w:p w:rsidR="00D10F80" w:rsidRPr="00FB04AE" w:rsidRDefault="00D10F80" w:rsidP="00F30C0C">
      <w:pPr>
        <w:spacing w:after="0" w:line="240" w:lineRule="auto"/>
        <w:ind w:firstLine="708"/>
        <w:jc w:val="both"/>
        <w:rPr>
          <w:rFonts w:ascii="Times New Roman" w:hAnsi="Times New Roman"/>
          <w:sz w:val="28"/>
          <w:szCs w:val="28"/>
          <w:lang w:eastAsia="ru-RU"/>
        </w:rPr>
      </w:pPr>
      <w:r w:rsidRPr="00FB04AE">
        <w:rPr>
          <w:rFonts w:ascii="Times New Roman" w:hAnsi="Times New Roman"/>
          <w:snapToGrid w:val="0"/>
          <w:color w:val="000000"/>
          <w:sz w:val="28"/>
          <w:szCs w:val="28"/>
          <w:lang w:eastAsia="ru-RU"/>
        </w:rPr>
        <w:t xml:space="preserve">  Методические указания по применению </w:t>
      </w:r>
      <w:r w:rsidRPr="00FB04AE">
        <w:rPr>
          <w:rFonts w:ascii="Times New Roman" w:hAnsi="Times New Roman"/>
          <w:snapToGrid w:val="0"/>
          <w:sz w:val="28"/>
          <w:szCs w:val="28"/>
          <w:lang w:eastAsia="ru-RU"/>
        </w:rPr>
        <w:t xml:space="preserve">форм первичных учетных документов и регистров </w:t>
      </w:r>
      <w:r w:rsidRPr="00D52226">
        <w:rPr>
          <w:rFonts w:ascii="Times New Roman" w:hAnsi="Times New Roman"/>
          <w:bCs/>
          <w:iCs/>
          <w:sz w:val="32"/>
          <w:szCs w:val="32"/>
        </w:rPr>
        <w:t>бухгалтерского</w:t>
      </w:r>
      <w:r w:rsidRPr="00FB04AE">
        <w:rPr>
          <w:rFonts w:ascii="Times New Roman" w:hAnsi="Times New Roman"/>
          <w:snapToGrid w:val="0"/>
          <w:sz w:val="28"/>
          <w:szCs w:val="28"/>
          <w:lang w:eastAsia="ru-RU"/>
        </w:rPr>
        <w:t xml:space="preserve">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 государственными (муниципальными) учреждениями, утвержденных приказом Минфина России от 30.03.2015 № 52н</w:t>
      </w:r>
      <w:r w:rsidRPr="00FB04AE">
        <w:rPr>
          <w:rFonts w:ascii="Times New Roman" w:hAnsi="Times New Roman"/>
          <w:sz w:val="28"/>
          <w:szCs w:val="28"/>
          <w:lang w:eastAsia="ru-RU"/>
        </w:rPr>
        <w:t xml:space="preserve">; </w:t>
      </w:r>
    </w:p>
    <w:p w:rsidR="00D10F80" w:rsidRDefault="00D10F80" w:rsidP="00F30C0C">
      <w:pPr>
        <w:widowControl w:val="0"/>
        <w:tabs>
          <w:tab w:val="left" w:pos="1134"/>
        </w:tabs>
        <w:autoSpaceDE w:val="0"/>
        <w:autoSpaceDN w:val="0"/>
        <w:adjustRightInd w:val="0"/>
        <w:spacing w:after="0" w:line="240" w:lineRule="auto"/>
        <w:ind w:firstLine="851"/>
        <w:contextualSpacing/>
        <w:jc w:val="both"/>
        <w:rPr>
          <w:rFonts w:ascii="Times New Roman" w:hAnsi="Times New Roman"/>
          <w:sz w:val="28"/>
          <w:szCs w:val="28"/>
          <w:lang w:eastAsia="ru-RU"/>
        </w:rPr>
      </w:pPr>
      <w:r w:rsidRPr="00FB04AE">
        <w:rPr>
          <w:rFonts w:ascii="Times New Roman" w:hAnsi="Times New Roman"/>
          <w:sz w:val="28"/>
          <w:szCs w:val="28"/>
          <w:lang w:eastAsia="ru-RU"/>
        </w:rPr>
        <w:t>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w:t>
      </w:r>
    </w:p>
    <w:p w:rsidR="00D10F80" w:rsidRPr="00FB04AE" w:rsidRDefault="00D10F80" w:rsidP="00F30C0C">
      <w:pPr>
        <w:widowControl w:val="0"/>
        <w:tabs>
          <w:tab w:val="left" w:pos="1134"/>
        </w:tabs>
        <w:autoSpaceDE w:val="0"/>
        <w:autoSpaceDN w:val="0"/>
        <w:adjustRightInd w:val="0"/>
        <w:spacing w:after="0" w:line="240" w:lineRule="auto"/>
        <w:ind w:firstLine="851"/>
        <w:contextualSpacing/>
        <w:jc w:val="both"/>
        <w:rPr>
          <w:rFonts w:ascii="Times New Roman" w:hAnsi="Times New Roman"/>
          <w:sz w:val="28"/>
          <w:szCs w:val="28"/>
          <w:lang w:eastAsia="ru-RU"/>
        </w:rPr>
      </w:pPr>
    </w:p>
    <w:p w:rsidR="00D10F80" w:rsidRPr="00FB04AE" w:rsidRDefault="00D10F80" w:rsidP="00F30C0C">
      <w:pPr>
        <w:numPr>
          <w:ilvl w:val="0"/>
          <w:numId w:val="2"/>
        </w:numPr>
        <w:shd w:val="clear" w:color="auto" w:fill="FFFFFF"/>
        <w:spacing w:after="0" w:line="240" w:lineRule="auto"/>
        <w:ind w:left="714" w:hanging="357"/>
        <w:jc w:val="center"/>
        <w:outlineLvl w:val="2"/>
        <w:rPr>
          <w:rFonts w:ascii="Times New Roman" w:hAnsi="Times New Roman"/>
          <w:b/>
          <w:bCs/>
          <w:sz w:val="24"/>
          <w:szCs w:val="24"/>
          <w:lang w:eastAsia="ru-RU"/>
        </w:rPr>
      </w:pPr>
      <w:r w:rsidRPr="00FB04AE">
        <w:rPr>
          <w:rFonts w:ascii="Times New Roman" w:hAnsi="Times New Roman"/>
          <w:b/>
          <w:bCs/>
          <w:sz w:val="24"/>
          <w:szCs w:val="24"/>
          <w:lang w:eastAsia="ru-RU"/>
        </w:rPr>
        <w:t>ОБЩИЕ ПОЛОЖЕНИЯ</w:t>
      </w:r>
    </w:p>
    <w:p w:rsidR="00D10F80" w:rsidRDefault="00D10F80" w:rsidP="00F30C0C">
      <w:pPr>
        <w:widowControl w:val="0"/>
        <w:autoSpaceDE w:val="0"/>
        <w:autoSpaceDN w:val="0"/>
        <w:spacing w:after="0" w:line="240" w:lineRule="auto"/>
        <w:ind w:left="714"/>
        <w:jc w:val="both"/>
        <w:rPr>
          <w:rFonts w:ascii="Times New Roman" w:hAnsi="Times New Roman"/>
          <w:bCs/>
          <w:sz w:val="28"/>
          <w:szCs w:val="28"/>
          <w:lang w:eastAsia="ru-RU"/>
        </w:rPr>
      </w:pPr>
    </w:p>
    <w:p w:rsidR="00D10F80" w:rsidRPr="00FB04AE" w:rsidRDefault="00D10F80" w:rsidP="00F30C0C">
      <w:pPr>
        <w:widowControl w:val="0"/>
        <w:autoSpaceDE w:val="0"/>
        <w:autoSpaceDN w:val="0"/>
        <w:spacing w:after="0" w:line="240" w:lineRule="auto"/>
        <w:ind w:firstLine="567"/>
        <w:jc w:val="both"/>
        <w:rPr>
          <w:rFonts w:ascii="Times New Roman" w:hAnsi="Times New Roman"/>
          <w:bCs/>
          <w:sz w:val="28"/>
          <w:szCs w:val="28"/>
          <w:lang w:eastAsia="ru-RU"/>
        </w:rPr>
      </w:pPr>
      <w:r w:rsidRPr="00FB04AE">
        <w:rPr>
          <w:rFonts w:ascii="Times New Roman" w:hAnsi="Times New Roman"/>
          <w:bCs/>
          <w:sz w:val="28"/>
          <w:szCs w:val="28"/>
          <w:lang w:eastAsia="ru-RU"/>
        </w:rPr>
        <w:t>Настоящий Порядок устанавливает:</w:t>
      </w:r>
    </w:p>
    <w:p w:rsidR="00D10F80" w:rsidRPr="00FB04AE"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rPr>
      </w:pPr>
      <w:r>
        <w:rPr>
          <w:rFonts w:ascii="Times New Roman" w:hAnsi="Times New Roman"/>
          <w:sz w:val="28"/>
          <w:szCs w:val="28"/>
          <w:lang w:eastAsia="ru-RU"/>
        </w:rPr>
        <w:t xml:space="preserve">          </w:t>
      </w:r>
      <w:r w:rsidRPr="00FB04AE">
        <w:rPr>
          <w:rFonts w:ascii="Times New Roman" w:hAnsi="Times New Roman"/>
          <w:sz w:val="28"/>
          <w:szCs w:val="28"/>
          <w:lang w:eastAsia="ru-RU"/>
        </w:rPr>
        <w:t xml:space="preserve">порядок проведения инвентаризации </w:t>
      </w:r>
      <w:r>
        <w:rPr>
          <w:rFonts w:ascii="Times New Roman" w:hAnsi="Times New Roman"/>
          <w:sz w:val="28"/>
          <w:szCs w:val="28"/>
          <w:lang w:eastAsia="ru-RU"/>
        </w:rPr>
        <w:t>имущества</w:t>
      </w:r>
      <w:r w:rsidRPr="00FB04AE">
        <w:rPr>
          <w:rFonts w:ascii="Times New Roman" w:hAnsi="Times New Roman"/>
          <w:sz w:val="28"/>
          <w:szCs w:val="28"/>
          <w:lang w:eastAsia="ru-RU"/>
        </w:rPr>
        <w:t xml:space="preserve"> и обязательств в целях составления годовой бухгалтерской (финансовой) отчетности, а также в случаях, когда проведение инвентаризации обязательно. Обязательное проведение инвентаризации устанавливается законодательством Российской Федерации, федеральными и отраслевыми стандартами;</w:t>
      </w:r>
    </w:p>
    <w:p w:rsidR="00D10F80" w:rsidRPr="00FB04AE"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FB04AE">
        <w:rPr>
          <w:rFonts w:ascii="Times New Roman" w:hAnsi="Times New Roman"/>
          <w:sz w:val="28"/>
          <w:szCs w:val="28"/>
          <w:lang w:eastAsia="ru-RU"/>
        </w:rPr>
        <w:t>порядок проведения инвентаризации с целью проверки соответствия объектов учета критериям активов;</w:t>
      </w:r>
    </w:p>
    <w:p w:rsidR="00D10F80" w:rsidRPr="00FB04AE" w:rsidRDefault="00D10F80" w:rsidP="00F30C0C">
      <w:pPr>
        <w:widowControl w:val="0"/>
        <w:shd w:val="clear" w:color="auto" w:fill="FFFFFF"/>
        <w:tabs>
          <w:tab w:val="left" w:pos="567"/>
        </w:tabs>
        <w:autoSpaceDE w:val="0"/>
        <w:autoSpaceDN w:val="0"/>
        <w:adjustRightInd w:val="0"/>
        <w:spacing w:after="0" w:line="240" w:lineRule="auto"/>
        <w:contextualSpacing/>
        <w:jc w:val="both"/>
        <w:outlineLvl w:val="2"/>
        <w:rPr>
          <w:rFonts w:ascii="Times New Roman" w:hAnsi="Times New Roman"/>
          <w:bCs/>
          <w:caps/>
          <w:sz w:val="24"/>
          <w:szCs w:val="24"/>
          <w:lang w:eastAsia="ru-RU"/>
        </w:rPr>
      </w:pPr>
      <w:r>
        <w:rPr>
          <w:rFonts w:ascii="Times New Roman" w:hAnsi="Times New Roman"/>
          <w:sz w:val="28"/>
          <w:szCs w:val="28"/>
          <w:lang w:eastAsia="ru-RU"/>
        </w:rPr>
        <w:tab/>
      </w:r>
      <w:r w:rsidRPr="00FB04AE">
        <w:rPr>
          <w:rFonts w:ascii="Times New Roman" w:hAnsi="Times New Roman"/>
          <w:sz w:val="28"/>
          <w:szCs w:val="28"/>
          <w:lang w:eastAsia="ru-RU"/>
        </w:rPr>
        <w:t>порядок проведения инвентариза</w:t>
      </w:r>
      <w:r>
        <w:rPr>
          <w:rFonts w:ascii="Times New Roman" w:hAnsi="Times New Roman"/>
          <w:sz w:val="28"/>
          <w:szCs w:val="28"/>
          <w:lang w:eastAsia="ru-RU"/>
        </w:rPr>
        <w:t xml:space="preserve">ции в целях выявления признаков </w:t>
      </w:r>
      <w:r w:rsidRPr="00FB04AE">
        <w:rPr>
          <w:rFonts w:ascii="Times New Roman" w:hAnsi="Times New Roman"/>
          <w:sz w:val="28"/>
          <w:szCs w:val="28"/>
          <w:lang w:eastAsia="ru-RU"/>
        </w:rPr>
        <w:t>обесценения активов.</w:t>
      </w:r>
      <w:r w:rsidRPr="00FB04AE">
        <w:rPr>
          <w:rFonts w:ascii="Times New Roman" w:hAnsi="Times New Roman"/>
          <w:sz w:val="24"/>
          <w:szCs w:val="24"/>
          <w:lang w:eastAsia="ru-RU"/>
        </w:rPr>
        <w:t xml:space="preserve"> </w:t>
      </w:r>
    </w:p>
    <w:p w:rsidR="00D10F80" w:rsidRPr="00FB04AE" w:rsidRDefault="00D10F80" w:rsidP="00F30C0C">
      <w:pPr>
        <w:widowControl w:val="0"/>
        <w:autoSpaceDE w:val="0"/>
        <w:autoSpaceDN w:val="0"/>
        <w:spacing w:after="0" w:line="240" w:lineRule="auto"/>
        <w:ind w:firstLine="567"/>
        <w:jc w:val="both"/>
        <w:rPr>
          <w:rFonts w:ascii="Times New Roman" w:hAnsi="Times New Roman"/>
          <w:bCs/>
          <w:sz w:val="28"/>
          <w:szCs w:val="28"/>
          <w:lang w:eastAsia="ru-RU"/>
        </w:rPr>
      </w:pPr>
      <w:r w:rsidRPr="00FB04AE">
        <w:rPr>
          <w:rFonts w:ascii="Times New Roman" w:hAnsi="Times New Roman"/>
          <w:bCs/>
          <w:sz w:val="28"/>
          <w:szCs w:val="28"/>
          <w:lang w:eastAsia="ru-RU"/>
        </w:rPr>
        <w:t>Для целей настоящего Порядка:</w:t>
      </w:r>
    </w:p>
    <w:p w:rsidR="00D10F80" w:rsidRPr="00FB04AE"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FB04AE">
        <w:rPr>
          <w:rFonts w:ascii="Times New Roman" w:hAnsi="Times New Roman"/>
          <w:sz w:val="28"/>
          <w:szCs w:val="28"/>
          <w:lang w:eastAsia="ru-RU"/>
        </w:rPr>
        <w:t>активом признается имущество, включая наличные и безналичные денежные средства, принадлежащее субъекту учета и (или) находящееся в его пользовании, контролируемое им в результате произошедших фактов хозяйственной жизни, от которого ожидается поступление полезного потенциала или экономических выгод;</w:t>
      </w:r>
    </w:p>
    <w:p w:rsidR="00D10F80" w:rsidRPr="00FB04AE"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FB04AE">
        <w:rPr>
          <w:rFonts w:ascii="Times New Roman" w:hAnsi="Times New Roman"/>
          <w:sz w:val="28"/>
          <w:szCs w:val="28"/>
          <w:lang w:eastAsia="ru-RU"/>
        </w:rPr>
        <w:t>обязательством признается задолженность, возникшая в результате произошедших фактов хозяйственной жизни, погашение которой приведет к выбытию активов, заключающих в себе полезный потенциал или экономические выгоды.</w:t>
      </w:r>
    </w:p>
    <w:p w:rsidR="00D10F80" w:rsidRPr="00FB04AE" w:rsidRDefault="00D10F80" w:rsidP="00F30C0C">
      <w:pPr>
        <w:widowControl w:val="0"/>
        <w:autoSpaceDE w:val="0"/>
        <w:autoSpaceDN w:val="0"/>
        <w:spacing w:after="0" w:line="240" w:lineRule="auto"/>
        <w:ind w:firstLine="567"/>
        <w:jc w:val="both"/>
        <w:rPr>
          <w:rFonts w:ascii="Times New Roman" w:hAnsi="Times New Roman"/>
          <w:sz w:val="28"/>
          <w:szCs w:val="28"/>
          <w:lang w:eastAsia="ru-RU"/>
        </w:rPr>
      </w:pPr>
      <w:r w:rsidRPr="00FB04AE">
        <w:rPr>
          <w:rFonts w:ascii="Times New Roman" w:hAnsi="Times New Roman"/>
          <w:bCs/>
          <w:sz w:val="28"/>
          <w:szCs w:val="28"/>
          <w:lang w:eastAsia="ru-RU"/>
        </w:rPr>
        <w:t xml:space="preserve">   Инвентаризации</w:t>
      </w:r>
      <w:r w:rsidRPr="00FB04AE">
        <w:rPr>
          <w:rFonts w:ascii="Times New Roman" w:hAnsi="Times New Roman"/>
          <w:sz w:val="28"/>
          <w:szCs w:val="28"/>
          <w:lang w:eastAsia="ru-RU"/>
        </w:rPr>
        <w:t xml:space="preserve"> подлежит все имущество, находящееся в оперативном управлении </w:t>
      </w:r>
      <w:r>
        <w:rPr>
          <w:rFonts w:ascii="Times New Roman" w:hAnsi="Times New Roman"/>
          <w:sz w:val="28"/>
          <w:szCs w:val="28"/>
        </w:rPr>
        <w:t>Уральской транспортной прокуратуры</w:t>
      </w:r>
      <w:r w:rsidRPr="00FB04AE">
        <w:rPr>
          <w:rFonts w:ascii="Times New Roman" w:hAnsi="Times New Roman"/>
          <w:sz w:val="28"/>
          <w:szCs w:val="28"/>
          <w:lang w:eastAsia="ru-RU"/>
        </w:rPr>
        <w:t>, все виды финансовых активов и обязательств.</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 xml:space="preserve">         Основными целями инвентаризации являются:</w:t>
      </w:r>
    </w:p>
    <w:p w:rsidR="00D10F80" w:rsidRPr="00FB04AE"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FB04AE">
        <w:rPr>
          <w:rFonts w:ascii="Times New Roman" w:hAnsi="Times New Roman"/>
          <w:sz w:val="28"/>
          <w:szCs w:val="28"/>
          <w:lang w:eastAsia="ru-RU"/>
        </w:rPr>
        <w:t>выявление фактического наличия имущества, сопоставление фактического наличия имущества с данными бухгалтерского учета;</w:t>
      </w:r>
    </w:p>
    <w:p w:rsidR="00D10F80" w:rsidRPr="00FB04AE"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FB04AE">
        <w:rPr>
          <w:rFonts w:ascii="Times New Roman" w:hAnsi="Times New Roman"/>
          <w:sz w:val="28"/>
          <w:szCs w:val="28"/>
          <w:lang w:eastAsia="ru-RU"/>
        </w:rPr>
        <w:t>проверка полноты отражения в бухгалтерском учете активов и обязательств;</w:t>
      </w:r>
    </w:p>
    <w:p w:rsidR="00D10F80" w:rsidRPr="00FB04AE"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rPr>
      </w:pPr>
      <w:r w:rsidRPr="00FB04AE">
        <w:rPr>
          <w:rFonts w:ascii="Times New Roman" w:hAnsi="Times New Roman"/>
          <w:sz w:val="28"/>
          <w:szCs w:val="28"/>
          <w:lang w:eastAsia="ru-RU"/>
        </w:rPr>
        <w:t>выявление активов, не соответствующих условиям признания актива;</w:t>
      </w:r>
    </w:p>
    <w:p w:rsidR="00D10F80"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FB04AE">
        <w:rPr>
          <w:rFonts w:ascii="Times New Roman" w:hAnsi="Times New Roman"/>
          <w:sz w:val="28"/>
          <w:szCs w:val="28"/>
          <w:lang w:eastAsia="ru-RU"/>
        </w:rPr>
        <w:t>выявление объектов с признаками обесценения</w:t>
      </w:r>
      <w:r>
        <w:rPr>
          <w:rFonts w:ascii="Times New Roman" w:hAnsi="Times New Roman"/>
          <w:sz w:val="28"/>
          <w:szCs w:val="28"/>
          <w:lang w:eastAsia="ru-RU"/>
        </w:rPr>
        <w:t>.</w:t>
      </w:r>
    </w:p>
    <w:p w:rsidR="00D10F80" w:rsidRPr="00FB04AE"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lang w:eastAsia="ru-RU"/>
        </w:rPr>
      </w:pPr>
    </w:p>
    <w:p w:rsidR="00D10F80" w:rsidRPr="00FB04AE" w:rsidRDefault="00D10F80" w:rsidP="00F30C0C">
      <w:pPr>
        <w:numPr>
          <w:ilvl w:val="0"/>
          <w:numId w:val="2"/>
        </w:numPr>
        <w:shd w:val="clear" w:color="auto" w:fill="FFFFFF"/>
        <w:spacing w:after="0" w:line="240" w:lineRule="auto"/>
        <w:ind w:left="714" w:hanging="357"/>
        <w:jc w:val="center"/>
        <w:outlineLvl w:val="2"/>
        <w:rPr>
          <w:rFonts w:ascii="Times New Roman" w:hAnsi="Times New Roman"/>
          <w:b/>
          <w:bCs/>
          <w:sz w:val="24"/>
          <w:szCs w:val="24"/>
          <w:lang w:eastAsia="ru-RU"/>
        </w:rPr>
      </w:pPr>
      <w:r w:rsidRPr="00FB04AE">
        <w:rPr>
          <w:rFonts w:ascii="Times New Roman" w:hAnsi="Times New Roman"/>
          <w:b/>
          <w:bCs/>
          <w:sz w:val="24"/>
          <w:szCs w:val="24"/>
          <w:lang w:eastAsia="ru-RU"/>
        </w:rPr>
        <w:t>ПРАВИЛА ПРОВЕДЕНИЯ ИНВЕНТАРИЗАЦИИ</w:t>
      </w:r>
    </w:p>
    <w:p w:rsidR="00D10F80" w:rsidRDefault="00D10F80" w:rsidP="00F30C0C">
      <w:pPr>
        <w:spacing w:after="0" w:line="240" w:lineRule="auto"/>
        <w:ind w:firstLine="567"/>
        <w:jc w:val="both"/>
        <w:rPr>
          <w:rFonts w:ascii="Times New Roman" w:hAnsi="Times New Roman"/>
          <w:sz w:val="28"/>
          <w:szCs w:val="28"/>
          <w:lang w:eastAsia="ru-RU"/>
        </w:rPr>
      </w:pP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 xml:space="preserve">Количество инвентаризаций в отчетном году, дата их проведения, перечень имущества, финансовых активов и обязательств, проверяемых при каждой из них, устанавливаются приказами </w:t>
      </w:r>
      <w:r>
        <w:rPr>
          <w:rFonts w:ascii="Times New Roman" w:hAnsi="Times New Roman"/>
          <w:sz w:val="28"/>
          <w:szCs w:val="28"/>
        </w:rPr>
        <w:t>Уральского транспортного прокурора</w:t>
      </w:r>
      <w:r w:rsidRPr="00FB04AE">
        <w:rPr>
          <w:rFonts w:ascii="Times New Roman" w:hAnsi="Times New Roman"/>
          <w:sz w:val="28"/>
          <w:szCs w:val="28"/>
          <w:lang w:eastAsia="ru-RU"/>
        </w:rPr>
        <w:t>.</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 xml:space="preserve">Для проведения инвентаризации в </w:t>
      </w:r>
      <w:r>
        <w:rPr>
          <w:rFonts w:ascii="Times New Roman" w:hAnsi="Times New Roman"/>
          <w:sz w:val="28"/>
          <w:szCs w:val="28"/>
        </w:rPr>
        <w:t>Уральской транспортной прокуратуре</w:t>
      </w:r>
      <w:r w:rsidRPr="00FB04AE">
        <w:rPr>
          <w:rFonts w:ascii="Times New Roman" w:hAnsi="Times New Roman"/>
          <w:sz w:val="28"/>
          <w:szCs w:val="28"/>
          <w:lang w:eastAsia="ru-RU"/>
        </w:rPr>
        <w:t xml:space="preserve"> созда</w:t>
      </w:r>
      <w:r>
        <w:rPr>
          <w:rFonts w:ascii="Times New Roman" w:hAnsi="Times New Roman"/>
          <w:sz w:val="28"/>
          <w:szCs w:val="28"/>
          <w:lang w:eastAsia="ru-RU"/>
        </w:rPr>
        <w:t>ю</w:t>
      </w:r>
      <w:r w:rsidRPr="00FB04AE">
        <w:rPr>
          <w:rFonts w:ascii="Times New Roman" w:hAnsi="Times New Roman"/>
          <w:sz w:val="28"/>
          <w:szCs w:val="28"/>
          <w:lang w:eastAsia="ru-RU"/>
        </w:rPr>
        <w:t>тся постоянно действующ</w:t>
      </w:r>
      <w:r>
        <w:rPr>
          <w:rFonts w:ascii="Times New Roman" w:hAnsi="Times New Roman"/>
          <w:sz w:val="28"/>
          <w:szCs w:val="28"/>
          <w:lang w:eastAsia="ru-RU"/>
        </w:rPr>
        <w:t>ие</w:t>
      </w:r>
      <w:r w:rsidRPr="00FB04AE">
        <w:rPr>
          <w:rFonts w:ascii="Times New Roman" w:hAnsi="Times New Roman"/>
          <w:sz w:val="28"/>
          <w:szCs w:val="28"/>
          <w:lang w:eastAsia="ru-RU"/>
        </w:rPr>
        <w:t xml:space="preserve"> инвентаризационн</w:t>
      </w:r>
      <w:r>
        <w:rPr>
          <w:rFonts w:ascii="Times New Roman" w:hAnsi="Times New Roman"/>
          <w:sz w:val="28"/>
          <w:szCs w:val="28"/>
          <w:lang w:eastAsia="ru-RU"/>
        </w:rPr>
        <w:t>ые</w:t>
      </w:r>
      <w:r w:rsidRPr="00FB04AE">
        <w:rPr>
          <w:rFonts w:ascii="Times New Roman" w:hAnsi="Times New Roman"/>
          <w:sz w:val="28"/>
          <w:szCs w:val="28"/>
          <w:lang w:eastAsia="ru-RU"/>
        </w:rPr>
        <w:t xml:space="preserve"> комисси</w:t>
      </w:r>
      <w:r>
        <w:rPr>
          <w:rFonts w:ascii="Times New Roman" w:hAnsi="Times New Roman"/>
          <w:sz w:val="28"/>
          <w:szCs w:val="28"/>
          <w:lang w:eastAsia="ru-RU"/>
        </w:rPr>
        <w:t>и</w:t>
      </w:r>
      <w:r w:rsidRPr="00FB04AE">
        <w:rPr>
          <w:rFonts w:ascii="Times New Roman" w:hAnsi="Times New Roman"/>
          <w:sz w:val="28"/>
          <w:szCs w:val="28"/>
          <w:lang w:eastAsia="ru-RU"/>
        </w:rPr>
        <w:t>.</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Персональный состав</w:t>
      </w:r>
      <w:r>
        <w:rPr>
          <w:rFonts w:ascii="Times New Roman" w:hAnsi="Times New Roman"/>
          <w:sz w:val="28"/>
          <w:szCs w:val="28"/>
          <w:lang w:eastAsia="ru-RU"/>
        </w:rPr>
        <w:t xml:space="preserve"> постоянно действующих</w:t>
      </w:r>
      <w:r w:rsidRPr="00FB04AE">
        <w:rPr>
          <w:rFonts w:ascii="Times New Roman" w:hAnsi="Times New Roman"/>
          <w:sz w:val="28"/>
          <w:szCs w:val="28"/>
          <w:lang w:eastAsia="ru-RU"/>
        </w:rPr>
        <w:t xml:space="preserve"> инвентаризационн</w:t>
      </w:r>
      <w:r>
        <w:rPr>
          <w:rFonts w:ascii="Times New Roman" w:hAnsi="Times New Roman"/>
          <w:sz w:val="28"/>
          <w:szCs w:val="28"/>
          <w:lang w:eastAsia="ru-RU"/>
        </w:rPr>
        <w:t>ых</w:t>
      </w:r>
      <w:r w:rsidRPr="00FB04AE">
        <w:rPr>
          <w:rFonts w:ascii="Times New Roman" w:hAnsi="Times New Roman"/>
          <w:sz w:val="28"/>
          <w:szCs w:val="28"/>
          <w:lang w:eastAsia="ru-RU"/>
        </w:rPr>
        <w:t xml:space="preserve"> комисси</w:t>
      </w:r>
      <w:r>
        <w:rPr>
          <w:rFonts w:ascii="Times New Roman" w:hAnsi="Times New Roman"/>
          <w:sz w:val="28"/>
          <w:szCs w:val="28"/>
          <w:lang w:eastAsia="ru-RU"/>
        </w:rPr>
        <w:t>й</w:t>
      </w:r>
      <w:r w:rsidRPr="00FB04AE">
        <w:rPr>
          <w:rFonts w:ascii="Times New Roman" w:hAnsi="Times New Roman"/>
          <w:sz w:val="28"/>
          <w:szCs w:val="28"/>
          <w:lang w:eastAsia="ru-RU"/>
        </w:rPr>
        <w:t xml:space="preserve"> утверждается приказом.</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 xml:space="preserve">Постоянно действующую инвентаризационную комиссию возглавляет Председатель, который осуществляет общее руководство деятельностью комиссии, организует работу комиссии, осуществляет общий контроль за реализацией принятых комиссией решений, дает поручения членам комиссии. </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 xml:space="preserve">Сведения о фактическом наличии имущества и реальности учтенных финансовых активов и обязательств записываются в инвентаризационные описи и акты о результатах инвентаризации. </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Инвентаризационная комиссия обеспечивает полноту и точность внесения в описи данных о фактических остатках имущества и финансовых обязательств, правильность и своевременность оформления материалов инвентаризации.</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 xml:space="preserve">Фактическое наличие имущества при инвентаризации определяется путем обязательного подсчета, взвешивания, обмера, расчета. </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Проверка фактического наличия имущества производится при обязательном участии материально ответственных лиц.</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Инвентаризационные описи могут быть заполнены как с использованием средств вычислительной и другой организационной техники, так и ручным способом.</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Наименования инвентаризуемых ценностей и объектов, их количество указывают в описях по номенклатуре и в единицах измерения, принятых в учете.</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Описи подписывают все члены инвентаризационной комиссии и материально ответственные лица. В описи материально ответственные лица дают расписку, подтверждающую проверку комиссией имущества в их присутствии, об отсутствии к членам комиссии каких-либо претензий и принятии перечисленного в описи имущества на ответственное хранение.</w:t>
      </w:r>
    </w:p>
    <w:p w:rsidR="00D10F80" w:rsidRPr="00030DF1" w:rsidRDefault="00D10F80" w:rsidP="00F30C0C">
      <w:pPr>
        <w:spacing w:after="0" w:line="240" w:lineRule="auto"/>
        <w:ind w:firstLine="567"/>
        <w:jc w:val="both"/>
        <w:rPr>
          <w:rFonts w:ascii="Times New Roman" w:hAnsi="Times New Roman"/>
          <w:sz w:val="28"/>
          <w:szCs w:val="28"/>
          <w:lang w:eastAsia="ru-RU"/>
        </w:rPr>
      </w:pPr>
      <w:r w:rsidRPr="00030DF1">
        <w:rPr>
          <w:rFonts w:ascii="Times New Roman" w:hAnsi="Times New Roman"/>
          <w:sz w:val="28"/>
          <w:szCs w:val="28"/>
          <w:lang w:eastAsia="ru-RU"/>
        </w:rPr>
        <w:t>При проверке фактического наличия имущества в случае смены материально ответственных лиц, лицо, принявшее имущество, расписывается в описи о получении, а сдавшее — в сдаче этого.</w:t>
      </w:r>
    </w:p>
    <w:p w:rsidR="00D10F80" w:rsidRDefault="00D10F80" w:rsidP="00F30C0C">
      <w:pPr>
        <w:spacing w:after="0" w:line="240" w:lineRule="auto"/>
        <w:ind w:firstLine="567"/>
        <w:jc w:val="both"/>
        <w:rPr>
          <w:rFonts w:ascii="Times New Roman" w:hAnsi="Times New Roman"/>
          <w:sz w:val="28"/>
          <w:szCs w:val="28"/>
          <w:lang w:eastAsia="ru-RU"/>
        </w:rPr>
      </w:pPr>
      <w:r w:rsidRPr="002C5A04">
        <w:rPr>
          <w:rFonts w:ascii="Times New Roman" w:hAnsi="Times New Roman"/>
          <w:sz w:val="28"/>
          <w:szCs w:val="28"/>
          <w:lang w:eastAsia="ru-RU"/>
        </w:rPr>
        <w:t xml:space="preserve">Для отражения результатов инвентаризации используются формы, утвержденные приказом Минфина России от 30 марта </w:t>
      </w:r>
      <w:smartTag w:uri="urn:schemas-microsoft-com:office:smarttags" w:element="metricconverter">
        <w:smartTagPr>
          <w:attr w:name="ProductID" w:val="2015 г"/>
        </w:smartTagPr>
        <w:r w:rsidRPr="002C5A04">
          <w:rPr>
            <w:rFonts w:ascii="Times New Roman" w:hAnsi="Times New Roman"/>
            <w:sz w:val="28"/>
            <w:szCs w:val="28"/>
            <w:lang w:eastAsia="ru-RU"/>
          </w:rPr>
          <w:t>2015 г</w:t>
        </w:r>
      </w:smartTag>
      <w:r w:rsidRPr="002C5A04">
        <w:rPr>
          <w:rFonts w:ascii="Times New Roman" w:hAnsi="Times New Roman"/>
          <w:sz w:val="28"/>
          <w:szCs w:val="28"/>
          <w:lang w:eastAsia="ru-RU"/>
        </w:rPr>
        <w:t>. № 52н.</w:t>
      </w:r>
    </w:p>
    <w:p w:rsidR="00D10F80" w:rsidRPr="00FB04AE" w:rsidRDefault="00D10F80" w:rsidP="00F30C0C">
      <w:pPr>
        <w:spacing w:after="0" w:line="240" w:lineRule="auto"/>
        <w:ind w:firstLine="567"/>
        <w:jc w:val="both"/>
        <w:rPr>
          <w:rFonts w:ascii="Times New Roman" w:hAnsi="Times New Roman"/>
          <w:sz w:val="28"/>
          <w:szCs w:val="28"/>
          <w:lang w:eastAsia="ru-RU"/>
        </w:rPr>
      </w:pPr>
    </w:p>
    <w:p w:rsidR="00D10F80" w:rsidRPr="00FB04AE" w:rsidRDefault="00D10F80" w:rsidP="00F30C0C">
      <w:pPr>
        <w:numPr>
          <w:ilvl w:val="1"/>
          <w:numId w:val="2"/>
        </w:numPr>
        <w:spacing w:after="0" w:line="240" w:lineRule="auto"/>
        <w:jc w:val="center"/>
        <w:outlineLvl w:val="3"/>
        <w:rPr>
          <w:rFonts w:ascii="Times New Roman" w:hAnsi="Times New Roman"/>
          <w:b/>
          <w:sz w:val="24"/>
          <w:szCs w:val="24"/>
          <w:lang w:eastAsia="ru-RU"/>
        </w:rPr>
      </w:pPr>
      <w:r w:rsidRPr="00FB04AE">
        <w:rPr>
          <w:rFonts w:ascii="Times New Roman" w:hAnsi="Times New Roman"/>
          <w:b/>
          <w:sz w:val="24"/>
          <w:szCs w:val="24"/>
          <w:lang w:eastAsia="ru-RU"/>
        </w:rPr>
        <w:t>ИНВЕНТАРИЗАЦИЯ ОСНОВНЫХ СРЕДСТВ</w:t>
      </w:r>
    </w:p>
    <w:p w:rsidR="00D10F80" w:rsidRPr="00F30C0C" w:rsidRDefault="00D10F80" w:rsidP="00F30C0C">
      <w:pPr>
        <w:spacing w:after="0" w:line="240" w:lineRule="auto"/>
        <w:ind w:left="360"/>
        <w:outlineLvl w:val="3"/>
        <w:rPr>
          <w:rFonts w:ascii="Times New Roman" w:hAnsi="Times New Roman"/>
          <w:b/>
          <w:sz w:val="24"/>
          <w:szCs w:val="24"/>
          <w:lang w:eastAsia="ru-RU"/>
        </w:rPr>
      </w:pP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До начала инвентаризации проверяется:</w:t>
      </w:r>
    </w:p>
    <w:p w:rsidR="00D10F80" w:rsidRPr="00FB04AE" w:rsidRDefault="00D10F80" w:rsidP="00F30C0C">
      <w:pPr>
        <w:widowControl w:val="0"/>
        <w:tabs>
          <w:tab w:val="left" w:pos="1134"/>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FB04AE">
        <w:rPr>
          <w:rFonts w:ascii="Times New Roman" w:hAnsi="Times New Roman"/>
          <w:sz w:val="28"/>
          <w:szCs w:val="28"/>
          <w:lang w:eastAsia="ru-RU"/>
        </w:rPr>
        <w:t>наличие и состояние инвентарных карточек, инвентарных книг, описей и других регистров аналитического учета;</w:t>
      </w:r>
    </w:p>
    <w:p w:rsidR="00D10F80" w:rsidRPr="00FB04AE" w:rsidRDefault="00D10F80" w:rsidP="00F30C0C">
      <w:pPr>
        <w:autoSpaceDE w:val="0"/>
        <w:autoSpaceDN w:val="0"/>
        <w:adjustRightInd w:val="0"/>
        <w:spacing w:after="0" w:line="240" w:lineRule="auto"/>
        <w:ind w:firstLine="540"/>
        <w:jc w:val="both"/>
        <w:rPr>
          <w:rFonts w:ascii="Times New Roman" w:hAnsi="Times New Roman"/>
          <w:sz w:val="28"/>
          <w:szCs w:val="28"/>
          <w:lang w:eastAsia="ru-RU"/>
        </w:rPr>
      </w:pPr>
      <w:r w:rsidRPr="00030DF1">
        <w:rPr>
          <w:rFonts w:ascii="Times New Roman" w:hAnsi="Times New Roman"/>
          <w:sz w:val="28"/>
          <w:szCs w:val="28"/>
          <w:lang w:eastAsia="ru-RU"/>
        </w:rPr>
        <w:t>Однотипные предметы хозяйственного инвентаря одинаковой стоимости, поступившие одновременно в инспекцию в инвентаризационной описи    проводятся по наименованиям с указанием количества этих предметов.</w:t>
      </w:r>
    </w:p>
    <w:p w:rsidR="00D10F80"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На основные средства, непригодные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т.д.).</w:t>
      </w:r>
    </w:p>
    <w:p w:rsidR="00D10F80" w:rsidRPr="00FB04AE" w:rsidRDefault="00D10F80" w:rsidP="00F30C0C">
      <w:pPr>
        <w:spacing w:after="0" w:line="240" w:lineRule="auto"/>
        <w:ind w:firstLine="567"/>
        <w:jc w:val="both"/>
        <w:rPr>
          <w:rFonts w:ascii="Times New Roman" w:hAnsi="Times New Roman"/>
          <w:sz w:val="28"/>
          <w:szCs w:val="28"/>
          <w:lang w:eastAsia="ru-RU"/>
        </w:rPr>
      </w:pPr>
    </w:p>
    <w:p w:rsidR="00D10F80" w:rsidRPr="00FB04AE" w:rsidRDefault="00D10F80" w:rsidP="00F30C0C">
      <w:pPr>
        <w:numPr>
          <w:ilvl w:val="1"/>
          <w:numId w:val="2"/>
        </w:numPr>
        <w:spacing w:after="0" w:line="240" w:lineRule="auto"/>
        <w:jc w:val="center"/>
        <w:outlineLvl w:val="3"/>
        <w:rPr>
          <w:rFonts w:ascii="Times New Roman" w:hAnsi="Times New Roman"/>
          <w:b/>
          <w:sz w:val="24"/>
          <w:szCs w:val="24"/>
          <w:lang w:eastAsia="ru-RU"/>
        </w:rPr>
      </w:pPr>
      <w:r w:rsidRPr="00FB04AE">
        <w:rPr>
          <w:rFonts w:ascii="Times New Roman" w:hAnsi="Times New Roman"/>
          <w:b/>
          <w:sz w:val="24"/>
          <w:szCs w:val="24"/>
          <w:lang w:eastAsia="ru-RU"/>
        </w:rPr>
        <w:t>ИНВЕНТАРИЗАЦИЯ МАТЕРИАЛЬНЫХ ЗАПАСОВ</w:t>
      </w:r>
    </w:p>
    <w:p w:rsidR="00D10F80" w:rsidRDefault="00D10F80" w:rsidP="00F30C0C">
      <w:pPr>
        <w:spacing w:after="0" w:line="240" w:lineRule="auto"/>
        <w:ind w:firstLine="567"/>
        <w:jc w:val="both"/>
        <w:rPr>
          <w:rFonts w:ascii="Times New Roman" w:hAnsi="Times New Roman"/>
          <w:sz w:val="28"/>
          <w:szCs w:val="28"/>
          <w:lang w:eastAsia="ru-RU"/>
        </w:rPr>
      </w:pP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Материальные запасы, находящиеся в эксплуатации, инвентаризуются по материально ответственным лицам, на хранении у которых они находятся.</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Комиссия в присутствии материально ответственн</w:t>
      </w:r>
      <w:r>
        <w:rPr>
          <w:rFonts w:ascii="Times New Roman" w:hAnsi="Times New Roman"/>
          <w:sz w:val="28"/>
          <w:szCs w:val="28"/>
          <w:lang w:eastAsia="ru-RU"/>
        </w:rPr>
        <w:t>ого</w:t>
      </w:r>
      <w:r w:rsidRPr="00FB04AE">
        <w:rPr>
          <w:rFonts w:ascii="Times New Roman" w:hAnsi="Times New Roman"/>
          <w:sz w:val="28"/>
          <w:szCs w:val="28"/>
          <w:lang w:eastAsia="ru-RU"/>
        </w:rPr>
        <w:t xml:space="preserve"> лиц</w:t>
      </w:r>
      <w:r>
        <w:rPr>
          <w:rFonts w:ascii="Times New Roman" w:hAnsi="Times New Roman"/>
          <w:sz w:val="28"/>
          <w:szCs w:val="28"/>
          <w:lang w:eastAsia="ru-RU"/>
        </w:rPr>
        <w:t>а</w:t>
      </w:r>
      <w:r w:rsidRPr="00FB04AE">
        <w:rPr>
          <w:rFonts w:ascii="Times New Roman" w:hAnsi="Times New Roman"/>
          <w:sz w:val="28"/>
          <w:szCs w:val="28"/>
          <w:lang w:eastAsia="ru-RU"/>
        </w:rPr>
        <w:t xml:space="preserve"> проверяет фактическое наличие материальных запасов путем обязательного осмотра каждого предмета и  пересчета. </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Материальные запасы, поступающие во время проведения инвентаризации, принимаются материально ответственными лицами в присутствии членов инвентаризационной комиссии и приходуются по реестру после инвентаризации.</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В описи материальные запасы заносятся по наименованиям в соответствии с номенклатурой, принятой в бухгалтерском учете.</w:t>
      </w:r>
    </w:p>
    <w:p w:rsidR="00D10F80" w:rsidRPr="00FB04AE" w:rsidRDefault="00D10F80" w:rsidP="00F30C0C">
      <w:pPr>
        <w:autoSpaceDE w:val="0"/>
        <w:autoSpaceDN w:val="0"/>
        <w:adjustRightInd w:val="0"/>
        <w:spacing w:after="0" w:line="240" w:lineRule="auto"/>
        <w:ind w:firstLine="709"/>
        <w:jc w:val="both"/>
        <w:rPr>
          <w:rFonts w:ascii="Times New Roman" w:hAnsi="Times New Roman"/>
          <w:sz w:val="28"/>
          <w:szCs w:val="28"/>
          <w:lang w:eastAsia="ru-RU"/>
        </w:rPr>
      </w:pPr>
      <w:r w:rsidRPr="00030DF1">
        <w:rPr>
          <w:rFonts w:ascii="Times New Roman" w:hAnsi="Times New Roman"/>
          <w:sz w:val="28"/>
          <w:szCs w:val="28"/>
          <w:lang w:eastAsia="ru-RU"/>
        </w:rPr>
        <w:t>Инвентаризация фактического наличия топлива в топливных баках автомобилей Уральской транспортной прокуратуры производится путем фактического снятия показаний спидометра на день проведения инвентаризации в присутствии водителей автомобилей и материально ответственных лиц, производится их сверка с данными путевых листов: по показанию спидометра и рассчитанного остатка топлива в топливном баке. Результаты инвентаризации оформляются Актом инвентаризации остатков топлива и показаний спидометра служебного автомобиля по каждому автомобилю.</w:t>
      </w:r>
    </w:p>
    <w:p w:rsidR="00D10F80" w:rsidRPr="00FB04AE" w:rsidRDefault="00D10F80" w:rsidP="00F30C0C">
      <w:pPr>
        <w:spacing w:after="0" w:line="240" w:lineRule="auto"/>
        <w:ind w:firstLine="567"/>
        <w:jc w:val="both"/>
        <w:rPr>
          <w:rFonts w:ascii="Times New Roman" w:hAnsi="Times New Roman"/>
          <w:sz w:val="24"/>
          <w:szCs w:val="24"/>
          <w:lang w:eastAsia="ru-RU"/>
        </w:rPr>
      </w:pPr>
    </w:p>
    <w:p w:rsidR="00D10F80" w:rsidRPr="00FB04AE" w:rsidRDefault="00D10F80" w:rsidP="00F30C0C">
      <w:pPr>
        <w:numPr>
          <w:ilvl w:val="1"/>
          <w:numId w:val="2"/>
        </w:numPr>
        <w:spacing w:after="0" w:line="240" w:lineRule="auto"/>
        <w:jc w:val="center"/>
        <w:outlineLvl w:val="3"/>
        <w:rPr>
          <w:rFonts w:ascii="Times New Roman" w:hAnsi="Times New Roman"/>
          <w:b/>
          <w:sz w:val="24"/>
          <w:szCs w:val="24"/>
          <w:lang w:eastAsia="ru-RU"/>
        </w:rPr>
      </w:pPr>
      <w:r w:rsidRPr="00FB04AE">
        <w:rPr>
          <w:rFonts w:ascii="Times New Roman" w:hAnsi="Times New Roman"/>
          <w:b/>
          <w:sz w:val="24"/>
          <w:szCs w:val="24"/>
          <w:lang w:eastAsia="ru-RU"/>
        </w:rPr>
        <w:t xml:space="preserve">ИНВЕНТАРИЗАЦИЯ НАЛИЧНЫХ  ДЕНЕЖНЫХ СРЕДСТВ, </w:t>
      </w:r>
      <w:r w:rsidRPr="00FB04AE">
        <w:rPr>
          <w:rFonts w:ascii="Times New Roman" w:hAnsi="Times New Roman"/>
          <w:b/>
          <w:sz w:val="24"/>
          <w:szCs w:val="24"/>
          <w:lang w:eastAsia="ru-RU"/>
        </w:rPr>
        <w:br/>
        <w:t>ДЕНЕЖНЫХ ДОКУМЕНТОВ И БЛАНКОВ СТОРОГОЙ ОТЧЕТНОСТИ</w:t>
      </w:r>
    </w:p>
    <w:p w:rsidR="00D10F80" w:rsidRDefault="00D10F80" w:rsidP="00F30C0C">
      <w:pPr>
        <w:spacing w:after="0" w:line="240" w:lineRule="auto"/>
        <w:ind w:firstLine="567"/>
        <w:jc w:val="both"/>
        <w:rPr>
          <w:rFonts w:ascii="Times New Roman" w:hAnsi="Times New Roman"/>
          <w:sz w:val="28"/>
          <w:szCs w:val="28"/>
          <w:lang w:eastAsia="ru-RU"/>
        </w:rPr>
      </w:pP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 xml:space="preserve">Инвентаризация кассы проводится в соответствии с указанием Центрального банка Российской Федерации. </w:t>
      </w:r>
    </w:p>
    <w:p w:rsidR="00D10F80" w:rsidRPr="00FB04AE" w:rsidRDefault="00D10F80" w:rsidP="00F30C0C">
      <w:pPr>
        <w:autoSpaceDE w:val="0"/>
        <w:autoSpaceDN w:val="0"/>
        <w:adjustRightInd w:val="0"/>
        <w:spacing w:after="0" w:line="240" w:lineRule="auto"/>
        <w:ind w:firstLine="540"/>
        <w:jc w:val="both"/>
        <w:rPr>
          <w:rFonts w:ascii="Times New Roman" w:hAnsi="Times New Roman"/>
          <w:sz w:val="28"/>
          <w:szCs w:val="28"/>
          <w:lang w:eastAsia="ru-RU"/>
        </w:rPr>
      </w:pPr>
      <w:r w:rsidRPr="00FB04AE">
        <w:rPr>
          <w:rFonts w:ascii="Times New Roman" w:hAnsi="Times New Roman"/>
          <w:sz w:val="28"/>
          <w:szCs w:val="28"/>
          <w:lang w:eastAsia="ru-RU"/>
        </w:rPr>
        <w:t>При подсчете фактического наличия денежных знаков и других ценностей в кассе принимаются к учету наличные деньги и денежные документы (марки</w:t>
      </w:r>
      <w:r>
        <w:rPr>
          <w:rFonts w:ascii="Times New Roman" w:hAnsi="Times New Roman"/>
          <w:sz w:val="28"/>
          <w:szCs w:val="28"/>
          <w:lang w:eastAsia="ru-RU"/>
        </w:rPr>
        <w:t>, маркированные конверты</w:t>
      </w:r>
      <w:r w:rsidRPr="00FB04AE">
        <w:rPr>
          <w:rFonts w:ascii="Times New Roman" w:hAnsi="Times New Roman"/>
          <w:sz w:val="28"/>
          <w:szCs w:val="28"/>
          <w:lang w:eastAsia="ru-RU"/>
        </w:rPr>
        <w:t>).</w:t>
      </w:r>
    </w:p>
    <w:p w:rsidR="00D10F80" w:rsidRPr="00FB04AE" w:rsidRDefault="00D10F80" w:rsidP="00F30C0C">
      <w:pPr>
        <w:autoSpaceDE w:val="0"/>
        <w:autoSpaceDN w:val="0"/>
        <w:adjustRightInd w:val="0"/>
        <w:spacing w:after="0" w:line="240" w:lineRule="auto"/>
        <w:ind w:firstLine="540"/>
        <w:jc w:val="both"/>
        <w:rPr>
          <w:rFonts w:ascii="Times New Roman" w:hAnsi="Times New Roman"/>
          <w:sz w:val="28"/>
          <w:szCs w:val="28"/>
          <w:lang w:eastAsia="ru-RU"/>
        </w:rPr>
      </w:pPr>
      <w:r w:rsidRPr="00FB04AE">
        <w:rPr>
          <w:rFonts w:ascii="Times New Roman" w:hAnsi="Times New Roman"/>
          <w:sz w:val="28"/>
          <w:szCs w:val="28"/>
          <w:lang w:eastAsia="ru-RU"/>
        </w:rPr>
        <w:t>Проверка фактического наличия  бланков документов строгой отчетности производится по видам бланков, с учетом начальных и конечных номеров тех или иных бланков, а также по каждому месту хранения и материально ответственным лицам.</w:t>
      </w:r>
    </w:p>
    <w:p w:rsidR="00D10F80" w:rsidRPr="00FB04AE" w:rsidRDefault="00D10F80" w:rsidP="00F30C0C">
      <w:pPr>
        <w:autoSpaceDE w:val="0"/>
        <w:autoSpaceDN w:val="0"/>
        <w:adjustRightInd w:val="0"/>
        <w:spacing w:after="0" w:line="240" w:lineRule="auto"/>
        <w:jc w:val="center"/>
        <w:outlineLvl w:val="0"/>
        <w:rPr>
          <w:rFonts w:ascii="Times New Roman" w:hAnsi="Times New Roman"/>
          <w:sz w:val="24"/>
          <w:szCs w:val="24"/>
          <w:lang w:eastAsia="ru-RU"/>
        </w:rPr>
      </w:pPr>
    </w:p>
    <w:p w:rsidR="00D10F80" w:rsidRPr="00FB04AE" w:rsidRDefault="00D10F80" w:rsidP="00F30C0C">
      <w:pPr>
        <w:numPr>
          <w:ilvl w:val="1"/>
          <w:numId w:val="2"/>
        </w:numPr>
        <w:autoSpaceDE w:val="0"/>
        <w:autoSpaceDN w:val="0"/>
        <w:adjustRightInd w:val="0"/>
        <w:spacing w:after="0" w:line="240" w:lineRule="auto"/>
        <w:jc w:val="center"/>
        <w:outlineLvl w:val="0"/>
        <w:rPr>
          <w:rFonts w:ascii="Times New Roman" w:hAnsi="Times New Roman"/>
          <w:b/>
          <w:sz w:val="24"/>
          <w:szCs w:val="24"/>
          <w:lang w:eastAsia="ru-RU"/>
        </w:rPr>
      </w:pPr>
      <w:r w:rsidRPr="00FB04AE">
        <w:rPr>
          <w:rFonts w:ascii="Times New Roman" w:hAnsi="Times New Roman"/>
          <w:b/>
          <w:sz w:val="24"/>
          <w:szCs w:val="24"/>
          <w:lang w:eastAsia="ru-RU"/>
        </w:rPr>
        <w:t>ИНВЕНТАРИЗАЦИЯ РАСЧЕТОВ</w:t>
      </w:r>
    </w:p>
    <w:p w:rsidR="00D10F80" w:rsidRPr="00FB04AE" w:rsidRDefault="00D10F80" w:rsidP="00F30C0C">
      <w:pPr>
        <w:autoSpaceDE w:val="0"/>
        <w:autoSpaceDN w:val="0"/>
        <w:adjustRightInd w:val="0"/>
        <w:spacing w:after="0" w:line="240" w:lineRule="auto"/>
        <w:rPr>
          <w:rFonts w:ascii="Times New Roman" w:hAnsi="Times New Roman"/>
          <w:sz w:val="24"/>
          <w:szCs w:val="24"/>
          <w:lang w:eastAsia="ru-RU"/>
        </w:rPr>
      </w:pPr>
    </w:p>
    <w:p w:rsidR="00D10F80" w:rsidRPr="00FB04AE" w:rsidRDefault="00D10F80" w:rsidP="00F30C0C">
      <w:pPr>
        <w:autoSpaceDE w:val="0"/>
        <w:autoSpaceDN w:val="0"/>
        <w:adjustRightInd w:val="0"/>
        <w:spacing w:after="0" w:line="240" w:lineRule="auto"/>
        <w:ind w:firstLine="540"/>
        <w:jc w:val="both"/>
        <w:rPr>
          <w:rFonts w:ascii="Times New Roman" w:hAnsi="Times New Roman"/>
          <w:sz w:val="28"/>
          <w:szCs w:val="28"/>
          <w:lang w:eastAsia="ru-RU"/>
        </w:rPr>
      </w:pPr>
      <w:r w:rsidRPr="00FB04AE">
        <w:rPr>
          <w:rFonts w:ascii="Times New Roman" w:hAnsi="Times New Roman"/>
          <w:sz w:val="28"/>
          <w:szCs w:val="28"/>
          <w:lang w:eastAsia="ru-RU"/>
        </w:rPr>
        <w:t xml:space="preserve"> Инвентаризация расчетов с бюджетом, покупателями, поставщиками, подотчетными лицами, работниками, депонентами, другими дебиторами и кредиторами заключается в проверке обоснованности сумм, числящихся на счетах бюджетного учета.</w:t>
      </w:r>
    </w:p>
    <w:p w:rsidR="00D10F80" w:rsidRPr="00FB04AE" w:rsidRDefault="00D10F80" w:rsidP="00F30C0C">
      <w:pPr>
        <w:autoSpaceDE w:val="0"/>
        <w:autoSpaceDN w:val="0"/>
        <w:adjustRightInd w:val="0"/>
        <w:spacing w:after="0" w:line="240" w:lineRule="auto"/>
        <w:ind w:firstLine="539"/>
        <w:jc w:val="both"/>
        <w:rPr>
          <w:rFonts w:ascii="Times New Roman" w:hAnsi="Times New Roman"/>
          <w:sz w:val="28"/>
          <w:szCs w:val="28"/>
          <w:lang w:eastAsia="ru-RU"/>
        </w:rPr>
      </w:pPr>
      <w:r w:rsidRPr="00FB04AE">
        <w:rPr>
          <w:rFonts w:ascii="Times New Roman" w:hAnsi="Times New Roman"/>
          <w:sz w:val="28"/>
          <w:szCs w:val="28"/>
          <w:lang w:eastAsia="ru-RU"/>
        </w:rPr>
        <w:t>Инвентаризационная комиссия путем документальной проверки должна также установить:</w:t>
      </w:r>
    </w:p>
    <w:p w:rsidR="00D10F80" w:rsidRPr="00FB04AE" w:rsidRDefault="00D10F80" w:rsidP="00F30C0C">
      <w:pPr>
        <w:autoSpaceDE w:val="0"/>
        <w:autoSpaceDN w:val="0"/>
        <w:adjustRightInd w:val="0"/>
        <w:spacing w:after="0" w:line="240" w:lineRule="auto"/>
        <w:ind w:firstLine="539"/>
        <w:jc w:val="both"/>
        <w:rPr>
          <w:rFonts w:ascii="Times New Roman" w:hAnsi="Times New Roman"/>
          <w:sz w:val="28"/>
          <w:szCs w:val="28"/>
          <w:lang w:eastAsia="ru-RU"/>
        </w:rPr>
      </w:pPr>
      <w:r w:rsidRPr="00FB04AE">
        <w:rPr>
          <w:rFonts w:ascii="Times New Roman" w:hAnsi="Times New Roman"/>
          <w:sz w:val="28"/>
          <w:szCs w:val="28"/>
          <w:lang w:eastAsia="ru-RU"/>
        </w:rPr>
        <w:t>а) правильность расчетов с налоговыми органами, внебюджетными фондами, другими организациями;</w:t>
      </w:r>
    </w:p>
    <w:p w:rsidR="00D10F80" w:rsidRPr="00FB04AE" w:rsidRDefault="00D10F80" w:rsidP="00F30C0C">
      <w:pPr>
        <w:autoSpaceDE w:val="0"/>
        <w:autoSpaceDN w:val="0"/>
        <w:adjustRightInd w:val="0"/>
        <w:spacing w:after="0" w:line="240" w:lineRule="auto"/>
        <w:ind w:firstLine="539"/>
        <w:jc w:val="both"/>
        <w:rPr>
          <w:rFonts w:ascii="Times New Roman" w:hAnsi="Times New Roman"/>
          <w:sz w:val="28"/>
          <w:szCs w:val="28"/>
          <w:lang w:eastAsia="ru-RU"/>
        </w:rPr>
      </w:pPr>
      <w:r w:rsidRPr="00FB04AE">
        <w:rPr>
          <w:rFonts w:ascii="Times New Roman" w:hAnsi="Times New Roman"/>
          <w:sz w:val="28"/>
          <w:szCs w:val="28"/>
          <w:lang w:eastAsia="ru-RU"/>
        </w:rPr>
        <w:t>б) правильность и обоснованность числящейся в бухгалтерском учете суммы задолженности по недостачам и хищениям;</w:t>
      </w:r>
    </w:p>
    <w:p w:rsidR="00D10F80" w:rsidRPr="00FB04AE" w:rsidRDefault="00D10F80" w:rsidP="00F30C0C">
      <w:pPr>
        <w:autoSpaceDE w:val="0"/>
        <w:autoSpaceDN w:val="0"/>
        <w:adjustRightInd w:val="0"/>
        <w:spacing w:after="0" w:line="240" w:lineRule="auto"/>
        <w:ind w:firstLine="539"/>
        <w:jc w:val="both"/>
        <w:rPr>
          <w:rFonts w:ascii="Times New Roman" w:hAnsi="Times New Roman"/>
          <w:sz w:val="28"/>
          <w:szCs w:val="28"/>
          <w:lang w:eastAsia="ru-RU"/>
        </w:rPr>
      </w:pPr>
      <w:r w:rsidRPr="00FB04AE">
        <w:rPr>
          <w:rFonts w:ascii="Times New Roman" w:hAnsi="Times New Roman"/>
          <w:sz w:val="28"/>
          <w:szCs w:val="28"/>
          <w:lang w:eastAsia="ru-RU"/>
        </w:rPr>
        <w:t>в) правильность и обоснованность сумм дебиторской, кредиторской и депонентской задолженности, в том числе подтвержденная дебиторами (кредиторами), не подтвержденная дебиторами (кредиторами), а также сумма задолженности с истекшим сроком исковой давности.</w:t>
      </w:r>
    </w:p>
    <w:p w:rsidR="00D10F80" w:rsidRDefault="00D10F80" w:rsidP="00DE6625">
      <w:pPr>
        <w:shd w:val="clear" w:color="auto" w:fill="FFFFFF"/>
        <w:spacing w:after="0" w:line="240" w:lineRule="auto"/>
        <w:ind w:left="357"/>
        <w:outlineLvl w:val="2"/>
        <w:rPr>
          <w:rFonts w:ascii="Times New Roman" w:hAnsi="Times New Roman"/>
          <w:b/>
          <w:bCs/>
          <w:sz w:val="24"/>
          <w:szCs w:val="24"/>
          <w:lang w:eastAsia="ru-RU"/>
        </w:rPr>
      </w:pPr>
    </w:p>
    <w:p w:rsidR="00D10F80" w:rsidRDefault="00D10F80" w:rsidP="00DE6625">
      <w:pPr>
        <w:shd w:val="clear" w:color="auto" w:fill="FFFFFF"/>
        <w:spacing w:after="0" w:line="240" w:lineRule="auto"/>
        <w:ind w:left="357"/>
        <w:outlineLvl w:val="2"/>
        <w:rPr>
          <w:rFonts w:ascii="Times New Roman" w:hAnsi="Times New Roman"/>
          <w:b/>
          <w:bCs/>
          <w:sz w:val="24"/>
          <w:szCs w:val="24"/>
          <w:lang w:eastAsia="ru-RU"/>
        </w:rPr>
      </w:pPr>
    </w:p>
    <w:p w:rsidR="00D10F80" w:rsidRPr="00FB04AE" w:rsidRDefault="00D10F80" w:rsidP="00F30C0C">
      <w:pPr>
        <w:numPr>
          <w:ilvl w:val="0"/>
          <w:numId w:val="2"/>
        </w:numPr>
        <w:shd w:val="clear" w:color="auto" w:fill="FFFFFF"/>
        <w:spacing w:after="0" w:line="240" w:lineRule="auto"/>
        <w:ind w:left="714" w:hanging="357"/>
        <w:jc w:val="center"/>
        <w:outlineLvl w:val="2"/>
        <w:rPr>
          <w:rFonts w:ascii="Times New Roman" w:hAnsi="Times New Roman"/>
          <w:b/>
          <w:bCs/>
          <w:sz w:val="24"/>
          <w:szCs w:val="24"/>
          <w:lang w:eastAsia="ru-RU"/>
        </w:rPr>
      </w:pPr>
      <w:r w:rsidRPr="00FB04AE">
        <w:rPr>
          <w:rFonts w:ascii="Times New Roman" w:hAnsi="Times New Roman"/>
          <w:b/>
          <w:bCs/>
          <w:sz w:val="24"/>
          <w:szCs w:val="24"/>
          <w:lang w:eastAsia="ru-RU"/>
        </w:rPr>
        <w:t>ПОРЯДОК ОФОРМЛЕНИЯ РЕЗУЛЬТАТОВ ИНВЕНТАРИЗАЦИИ</w:t>
      </w:r>
      <w:r>
        <w:rPr>
          <w:rFonts w:ascii="Times New Roman" w:hAnsi="Times New Roman"/>
          <w:b/>
          <w:bCs/>
          <w:sz w:val="24"/>
          <w:szCs w:val="24"/>
          <w:lang w:eastAsia="ru-RU"/>
        </w:rPr>
        <w:t xml:space="preserve"> И У</w:t>
      </w:r>
      <w:r w:rsidRPr="00FB04AE">
        <w:rPr>
          <w:rFonts w:ascii="Times New Roman" w:hAnsi="Times New Roman"/>
          <w:b/>
          <w:bCs/>
          <w:sz w:val="24"/>
          <w:szCs w:val="24"/>
          <w:lang w:eastAsia="ru-RU"/>
        </w:rPr>
        <w:t>РЕГУЛИРОВАНИ</w:t>
      </w:r>
      <w:r>
        <w:rPr>
          <w:rFonts w:ascii="Times New Roman" w:hAnsi="Times New Roman"/>
          <w:b/>
          <w:bCs/>
          <w:sz w:val="24"/>
          <w:szCs w:val="24"/>
          <w:lang w:eastAsia="ru-RU"/>
        </w:rPr>
        <w:t>Е</w:t>
      </w:r>
      <w:r w:rsidRPr="00FB04AE">
        <w:rPr>
          <w:rFonts w:ascii="Times New Roman" w:hAnsi="Times New Roman"/>
          <w:b/>
          <w:bCs/>
          <w:sz w:val="24"/>
          <w:szCs w:val="24"/>
          <w:lang w:eastAsia="ru-RU"/>
        </w:rPr>
        <w:t xml:space="preserve"> ИНВЕНТАРИЗАЦИОННЫХ РА</w:t>
      </w:r>
      <w:r>
        <w:rPr>
          <w:rFonts w:ascii="Times New Roman" w:hAnsi="Times New Roman"/>
          <w:b/>
          <w:bCs/>
          <w:sz w:val="24"/>
          <w:szCs w:val="24"/>
          <w:lang w:eastAsia="ru-RU"/>
        </w:rPr>
        <w:t>СХОЖДЕНИЙ</w:t>
      </w:r>
      <w:r w:rsidRPr="00FB04AE">
        <w:rPr>
          <w:rFonts w:ascii="Times New Roman" w:hAnsi="Times New Roman"/>
          <w:b/>
          <w:bCs/>
          <w:sz w:val="24"/>
          <w:szCs w:val="24"/>
          <w:lang w:eastAsia="ru-RU"/>
        </w:rPr>
        <w:t xml:space="preserve"> </w:t>
      </w:r>
    </w:p>
    <w:p w:rsidR="00D10F80" w:rsidRDefault="00D10F80" w:rsidP="00F30C0C">
      <w:pPr>
        <w:autoSpaceDE w:val="0"/>
        <w:autoSpaceDN w:val="0"/>
        <w:adjustRightInd w:val="0"/>
        <w:spacing w:after="0" w:line="240" w:lineRule="auto"/>
        <w:jc w:val="both"/>
        <w:rPr>
          <w:rFonts w:ascii="Times New Roman" w:hAnsi="Times New Roman"/>
          <w:sz w:val="24"/>
          <w:szCs w:val="24"/>
          <w:lang w:eastAsia="ru-RU"/>
        </w:rPr>
      </w:pPr>
      <w:r w:rsidRPr="00FB04AE">
        <w:rPr>
          <w:rFonts w:ascii="Times New Roman" w:hAnsi="Times New Roman"/>
          <w:sz w:val="24"/>
          <w:szCs w:val="24"/>
          <w:lang w:eastAsia="ru-RU"/>
        </w:rPr>
        <w:t xml:space="preserve">         </w:t>
      </w:r>
    </w:p>
    <w:p w:rsidR="00D10F80" w:rsidRPr="00FB04AE" w:rsidRDefault="00D10F80" w:rsidP="00DE6625">
      <w:pPr>
        <w:autoSpaceDE w:val="0"/>
        <w:autoSpaceDN w:val="0"/>
        <w:adjustRightInd w:val="0"/>
        <w:spacing w:after="0" w:line="240" w:lineRule="auto"/>
        <w:ind w:firstLine="540"/>
        <w:jc w:val="both"/>
        <w:rPr>
          <w:rFonts w:ascii="Times New Roman" w:hAnsi="Times New Roman"/>
          <w:sz w:val="28"/>
          <w:szCs w:val="28"/>
          <w:lang w:eastAsia="ru-RU"/>
        </w:rPr>
      </w:pPr>
      <w:r w:rsidRPr="00FB04AE">
        <w:rPr>
          <w:rFonts w:ascii="Times New Roman" w:hAnsi="Times New Roman"/>
          <w:sz w:val="24"/>
          <w:szCs w:val="24"/>
          <w:lang w:eastAsia="ru-RU"/>
        </w:rPr>
        <w:t xml:space="preserve"> </w:t>
      </w:r>
      <w:r w:rsidRPr="00FB04AE">
        <w:rPr>
          <w:rFonts w:ascii="Times New Roman" w:hAnsi="Times New Roman"/>
          <w:sz w:val="28"/>
          <w:szCs w:val="28"/>
          <w:lang w:eastAsia="ru-RU"/>
        </w:rPr>
        <w:t>Предложения о</w:t>
      </w:r>
      <w:r>
        <w:rPr>
          <w:rFonts w:ascii="Times New Roman" w:hAnsi="Times New Roman"/>
          <w:sz w:val="28"/>
          <w:szCs w:val="28"/>
          <w:lang w:eastAsia="ru-RU"/>
        </w:rPr>
        <w:t>б</w:t>
      </w:r>
      <w:r w:rsidRPr="00FB04AE">
        <w:rPr>
          <w:rFonts w:ascii="Times New Roman" w:hAnsi="Times New Roman"/>
          <w:sz w:val="28"/>
          <w:szCs w:val="28"/>
          <w:lang w:eastAsia="ru-RU"/>
        </w:rPr>
        <w:t xml:space="preserve"> </w:t>
      </w:r>
      <w:r>
        <w:rPr>
          <w:rFonts w:ascii="Times New Roman" w:hAnsi="Times New Roman"/>
          <w:sz w:val="28"/>
          <w:szCs w:val="28"/>
          <w:lang w:eastAsia="ru-RU"/>
        </w:rPr>
        <w:t>у</w:t>
      </w:r>
      <w:r w:rsidRPr="00FB04AE">
        <w:rPr>
          <w:rFonts w:ascii="Times New Roman" w:hAnsi="Times New Roman"/>
          <w:sz w:val="28"/>
          <w:szCs w:val="28"/>
          <w:lang w:eastAsia="ru-RU"/>
        </w:rPr>
        <w:t xml:space="preserve">регулировании выявленных при инвентаризации расхождений фактического наличия ценностей и данных бюджетного учета представляются на рассмотрение </w:t>
      </w:r>
      <w:r>
        <w:rPr>
          <w:rFonts w:ascii="Times New Roman" w:hAnsi="Times New Roman"/>
          <w:sz w:val="28"/>
          <w:szCs w:val="28"/>
        </w:rPr>
        <w:t>Уральскому транспортному прокурору</w:t>
      </w:r>
      <w:r w:rsidRPr="00FB04AE">
        <w:rPr>
          <w:rFonts w:ascii="Times New Roman" w:hAnsi="Times New Roman"/>
          <w:sz w:val="28"/>
          <w:szCs w:val="28"/>
          <w:lang w:eastAsia="ru-RU"/>
        </w:rPr>
        <w:t xml:space="preserve">. </w:t>
      </w:r>
    </w:p>
    <w:p w:rsidR="00D10F80" w:rsidRPr="00FB04AE" w:rsidRDefault="00D10F80" w:rsidP="00F30C0C">
      <w:pPr>
        <w:autoSpaceDE w:val="0"/>
        <w:autoSpaceDN w:val="0"/>
        <w:adjustRightInd w:val="0"/>
        <w:spacing w:after="0" w:line="240" w:lineRule="auto"/>
        <w:ind w:firstLine="540"/>
        <w:jc w:val="both"/>
        <w:rPr>
          <w:rFonts w:ascii="Times New Roman" w:hAnsi="Times New Roman"/>
          <w:sz w:val="28"/>
          <w:szCs w:val="28"/>
          <w:lang w:eastAsia="ru-RU"/>
        </w:rPr>
      </w:pPr>
      <w:r w:rsidRPr="00FB04AE">
        <w:rPr>
          <w:rFonts w:ascii="Times New Roman" w:hAnsi="Times New Roman"/>
          <w:sz w:val="28"/>
          <w:szCs w:val="28"/>
          <w:lang w:eastAsia="ru-RU"/>
        </w:rPr>
        <w:t xml:space="preserve"> Результаты инвентаризации должны быть отражены в бюджетном учете и отчетности того месяца, в котором была закончена инвентаризация, а по годовой инвентаризации - в годовом бухгалтерском отчете.</w:t>
      </w:r>
    </w:p>
    <w:p w:rsidR="00D10F80" w:rsidRDefault="00D10F80" w:rsidP="00F30C0C">
      <w:pPr>
        <w:autoSpaceDE w:val="0"/>
        <w:autoSpaceDN w:val="0"/>
        <w:adjustRightInd w:val="0"/>
        <w:spacing w:after="0" w:line="240" w:lineRule="auto"/>
        <w:ind w:firstLine="540"/>
        <w:jc w:val="both"/>
        <w:rPr>
          <w:rFonts w:ascii="Times New Roman" w:hAnsi="Times New Roman"/>
          <w:sz w:val="28"/>
          <w:szCs w:val="28"/>
          <w:lang w:eastAsia="ru-RU"/>
        </w:rPr>
      </w:pPr>
      <w:r w:rsidRPr="00FB04AE">
        <w:rPr>
          <w:rFonts w:ascii="Times New Roman" w:hAnsi="Times New Roman"/>
          <w:sz w:val="28"/>
          <w:szCs w:val="28"/>
          <w:lang w:eastAsia="ru-RU"/>
        </w:rPr>
        <w:t xml:space="preserve">Данные об установленных в ходе инвентаризации отклонениях с данными бухгалтерского учета, а также об объектах учета, по которым установлено их несоответствие условиям признания актив отражается в ведомости расхождений по результатам инвентаризации.  </w:t>
      </w:r>
    </w:p>
    <w:p w:rsidR="00D10F80" w:rsidRPr="00FB04AE" w:rsidRDefault="00D10F80" w:rsidP="00F30C0C">
      <w:pPr>
        <w:autoSpaceDE w:val="0"/>
        <w:autoSpaceDN w:val="0"/>
        <w:adjustRightInd w:val="0"/>
        <w:spacing w:after="0" w:line="240" w:lineRule="auto"/>
        <w:ind w:firstLine="540"/>
        <w:jc w:val="both"/>
        <w:rPr>
          <w:rFonts w:ascii="Times New Roman" w:hAnsi="Times New Roman"/>
          <w:sz w:val="28"/>
          <w:szCs w:val="28"/>
          <w:lang w:eastAsia="ru-RU"/>
        </w:rPr>
      </w:pPr>
    </w:p>
    <w:p w:rsidR="00D10F80" w:rsidRPr="00FB04AE" w:rsidRDefault="00D10F80" w:rsidP="00F30C0C">
      <w:pPr>
        <w:autoSpaceDE w:val="0"/>
        <w:autoSpaceDN w:val="0"/>
        <w:adjustRightInd w:val="0"/>
        <w:spacing w:after="0" w:line="240" w:lineRule="auto"/>
        <w:ind w:firstLine="540"/>
        <w:jc w:val="center"/>
        <w:rPr>
          <w:rFonts w:ascii="Times New Roman" w:hAnsi="Times New Roman"/>
          <w:b/>
          <w:bCs/>
          <w:caps/>
          <w:sz w:val="24"/>
          <w:szCs w:val="24"/>
          <w:lang w:eastAsia="ru-RU"/>
        </w:rPr>
      </w:pPr>
      <w:r w:rsidRPr="00FB04AE">
        <w:rPr>
          <w:rFonts w:ascii="Times New Roman" w:hAnsi="Times New Roman"/>
          <w:b/>
          <w:bCs/>
          <w:caps/>
          <w:sz w:val="24"/>
          <w:szCs w:val="24"/>
          <w:lang w:eastAsia="ru-RU"/>
        </w:rPr>
        <w:t>4. Методика определения соответствия критериям актива</w:t>
      </w:r>
      <w:r w:rsidRPr="00FB04AE">
        <w:rPr>
          <w:rFonts w:ascii="Times New Roman" w:hAnsi="Times New Roman"/>
          <w:b/>
          <w:bCs/>
          <w:caps/>
          <w:sz w:val="24"/>
          <w:szCs w:val="24"/>
          <w:lang w:eastAsia="ru-RU"/>
        </w:rPr>
        <w:br/>
        <w:t>Порядок заполнения инвентаризационной описи (сличительной ведомости) по объектам нефинансовых активов</w:t>
      </w:r>
    </w:p>
    <w:p w:rsidR="00D10F80" w:rsidRDefault="00D10F80" w:rsidP="00F30C0C">
      <w:pPr>
        <w:spacing w:after="0" w:line="240" w:lineRule="auto"/>
        <w:ind w:firstLine="567"/>
        <w:jc w:val="both"/>
        <w:rPr>
          <w:rFonts w:ascii="Times New Roman" w:hAnsi="Times New Roman"/>
          <w:sz w:val="28"/>
          <w:szCs w:val="28"/>
          <w:lang w:eastAsia="ru-RU"/>
        </w:rPr>
      </w:pP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Признание соответствия объекта нефинансовых активов критериям актива производится через выявление его статуса и целевой функции</w:t>
      </w:r>
      <w:r w:rsidRPr="00FB04AE">
        <w:rPr>
          <w:rFonts w:ascii="Times New Roman" w:hAnsi="Times New Roman"/>
          <w:bCs/>
          <w:sz w:val="28"/>
          <w:szCs w:val="28"/>
        </w:rPr>
        <w:t xml:space="preserve"> </w:t>
      </w:r>
      <w:r w:rsidRPr="00FB04AE">
        <w:rPr>
          <w:rFonts w:ascii="Times New Roman" w:hAnsi="Times New Roman"/>
          <w:sz w:val="28"/>
          <w:szCs w:val="28"/>
          <w:lang w:eastAsia="ru-RU"/>
        </w:rPr>
        <w:t>инвентаризационной комиссией в ходе осмотра объектов нефинансовых активов.</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 xml:space="preserve">Статус объекта – информация о состоянии объекта нефинансовых активов на дату инвентаризации с учетом оценки его технического состояния и (или) степени вовлеченности объектов имущества в хозяйственный оборот. </w:t>
      </w:r>
    </w:p>
    <w:p w:rsidR="00D10F80" w:rsidRPr="00FB04AE" w:rsidRDefault="00D10F80" w:rsidP="00F30C0C">
      <w:pPr>
        <w:spacing w:after="0" w:line="240" w:lineRule="auto"/>
        <w:ind w:firstLine="708"/>
        <w:jc w:val="both"/>
        <w:rPr>
          <w:rFonts w:ascii="Times New Roman" w:hAnsi="Times New Roman"/>
          <w:sz w:val="28"/>
          <w:szCs w:val="28"/>
          <w:lang w:eastAsia="ru-RU"/>
        </w:rPr>
      </w:pPr>
      <w:r w:rsidRPr="00FB04AE">
        <w:rPr>
          <w:rFonts w:ascii="Times New Roman" w:hAnsi="Times New Roman"/>
          <w:sz w:val="28"/>
          <w:szCs w:val="28"/>
          <w:lang w:eastAsia="ru-RU"/>
        </w:rPr>
        <w:t>Статус объекта указыва</w:t>
      </w:r>
      <w:r>
        <w:rPr>
          <w:rFonts w:ascii="Times New Roman" w:hAnsi="Times New Roman"/>
          <w:sz w:val="28"/>
          <w:szCs w:val="28"/>
          <w:lang w:eastAsia="ru-RU"/>
        </w:rPr>
        <w:t>ется</w:t>
      </w:r>
      <w:r w:rsidRPr="00FB04AE">
        <w:rPr>
          <w:rFonts w:ascii="Times New Roman" w:hAnsi="Times New Roman"/>
          <w:sz w:val="28"/>
          <w:szCs w:val="28"/>
          <w:lang w:eastAsia="ru-RU"/>
        </w:rPr>
        <w:t xml:space="preserve"> по наименованию в графе 8 Инвентаризационной описи.</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Целевая функция актива – информация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Целевая функция указыва</w:t>
      </w:r>
      <w:r>
        <w:rPr>
          <w:rFonts w:ascii="Times New Roman" w:hAnsi="Times New Roman"/>
          <w:sz w:val="28"/>
          <w:szCs w:val="28"/>
          <w:lang w:eastAsia="ru-RU"/>
        </w:rPr>
        <w:t>ется</w:t>
      </w:r>
      <w:r w:rsidRPr="00FB04AE">
        <w:rPr>
          <w:rFonts w:ascii="Times New Roman" w:hAnsi="Times New Roman"/>
          <w:sz w:val="28"/>
          <w:szCs w:val="28"/>
          <w:lang w:eastAsia="ru-RU"/>
        </w:rPr>
        <w:t xml:space="preserve"> </w:t>
      </w:r>
      <w:r w:rsidRPr="00FB04AE">
        <w:rPr>
          <w:rFonts w:ascii="Times New Roman" w:hAnsi="Times New Roman"/>
          <w:sz w:val="26"/>
          <w:szCs w:val="26"/>
          <w:lang w:eastAsia="ru-RU"/>
        </w:rPr>
        <w:t>по наименованию</w:t>
      </w:r>
      <w:r w:rsidRPr="00FB04AE">
        <w:rPr>
          <w:rFonts w:ascii="Times New Roman" w:hAnsi="Times New Roman"/>
          <w:sz w:val="28"/>
          <w:szCs w:val="28"/>
          <w:lang w:eastAsia="ru-RU"/>
        </w:rPr>
        <w:t xml:space="preserve"> в графе 9 Инвентаризационной описи.</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Информация об изменении статуса и целевой функции объекта с предыдущей инвентаризации указывается в графе 19 «Примечание» Инвентаризационной описи.</w:t>
      </w:r>
    </w:p>
    <w:p w:rsidR="00D10F80" w:rsidRPr="00FB04AE" w:rsidRDefault="00D10F80" w:rsidP="00F30C0C">
      <w:pPr>
        <w:spacing w:after="0" w:line="240" w:lineRule="auto"/>
        <w:ind w:firstLine="567"/>
        <w:jc w:val="both"/>
        <w:rPr>
          <w:rFonts w:ascii="Times New Roman" w:hAnsi="Times New Roman"/>
          <w:sz w:val="28"/>
          <w:szCs w:val="28"/>
          <w:lang w:eastAsia="ru-RU"/>
        </w:rPr>
      </w:pPr>
      <w:r w:rsidRPr="00FB04AE">
        <w:rPr>
          <w:rFonts w:ascii="Times New Roman" w:hAnsi="Times New Roman"/>
          <w:sz w:val="28"/>
          <w:szCs w:val="28"/>
          <w:lang w:eastAsia="ru-RU"/>
        </w:rPr>
        <w:t xml:space="preserve">Имущество, не соответствующее условиям признания актива выявляется по результатам обобщения информации о «Статусе объекта учета», «Целевой функции актива» и отражаются данными о количестве и балансовой сумме объектов в графах 17-18 «Не соответствует условиям актива» в Инвентаризационной описи. </w:t>
      </w:r>
    </w:p>
    <w:p w:rsidR="00D10F80" w:rsidRDefault="00D10F80" w:rsidP="00F30C0C">
      <w:pPr>
        <w:spacing w:after="0" w:line="240" w:lineRule="auto"/>
        <w:ind w:firstLine="360"/>
        <w:jc w:val="center"/>
        <w:rPr>
          <w:rFonts w:ascii="Times New Roman" w:hAnsi="Times New Roman"/>
          <w:b/>
          <w:sz w:val="28"/>
          <w:szCs w:val="28"/>
          <w:lang w:eastAsia="ru-RU"/>
        </w:rPr>
      </w:pPr>
    </w:p>
    <w:p w:rsidR="00D10F80" w:rsidRDefault="00D10F80" w:rsidP="00F30C0C">
      <w:pPr>
        <w:spacing w:after="0" w:line="240" w:lineRule="auto"/>
        <w:ind w:firstLine="360"/>
        <w:jc w:val="center"/>
        <w:rPr>
          <w:rFonts w:ascii="Times New Roman" w:hAnsi="Times New Roman"/>
          <w:b/>
          <w:sz w:val="28"/>
          <w:szCs w:val="28"/>
          <w:lang w:eastAsia="ru-RU"/>
        </w:rPr>
      </w:pPr>
    </w:p>
    <w:p w:rsidR="00D10F80" w:rsidRPr="00FB04AE" w:rsidRDefault="00D10F80" w:rsidP="00F30C0C">
      <w:pPr>
        <w:spacing w:after="0" w:line="240" w:lineRule="auto"/>
        <w:ind w:firstLine="360"/>
        <w:jc w:val="center"/>
        <w:rPr>
          <w:rFonts w:ascii="Times New Roman" w:hAnsi="Times New Roman"/>
          <w:b/>
          <w:sz w:val="28"/>
          <w:szCs w:val="28"/>
          <w:lang w:eastAsia="ru-RU"/>
        </w:rPr>
      </w:pPr>
      <w:r w:rsidRPr="00FB04AE">
        <w:rPr>
          <w:rFonts w:ascii="Times New Roman" w:hAnsi="Times New Roman"/>
          <w:b/>
          <w:sz w:val="28"/>
          <w:szCs w:val="28"/>
          <w:lang w:eastAsia="ru-RU"/>
        </w:rPr>
        <w:t>Значения «Статуса объекта», «Целевой функции» применяемые в отношении объектов основных средств и материальных запасов: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47"/>
        <w:gridCol w:w="2601"/>
        <w:gridCol w:w="2340"/>
        <w:gridCol w:w="2146"/>
      </w:tblGrid>
      <w:tr w:rsidR="00D10F80" w:rsidRPr="00C33877" w:rsidTr="00957D53">
        <w:tc>
          <w:tcPr>
            <w:tcW w:w="2547" w:type="dxa"/>
            <w:vAlign w:val="center"/>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Статус объекта</w:t>
            </w:r>
          </w:p>
        </w:tc>
        <w:tc>
          <w:tcPr>
            <w:tcW w:w="2601" w:type="dxa"/>
            <w:vAlign w:val="center"/>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Целевая функция объекта</w:t>
            </w:r>
          </w:p>
        </w:tc>
        <w:tc>
          <w:tcPr>
            <w:tcW w:w="2340" w:type="dxa"/>
            <w:vAlign w:val="center"/>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Соответствует</w:t>
            </w:r>
          </w:p>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(не соответствует) условиям признания актива в качестве объекта основных средств</w:t>
            </w:r>
          </w:p>
        </w:tc>
        <w:tc>
          <w:tcPr>
            <w:tcW w:w="2146" w:type="dxa"/>
            <w:vAlign w:val="center"/>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Графы 17-18 Инвентаризационной описи ф.0504087</w:t>
            </w:r>
          </w:p>
        </w:tc>
      </w:tr>
      <w:tr w:rsidR="00D10F80" w:rsidRPr="00F30C0C" w:rsidTr="001D085A">
        <w:tc>
          <w:tcPr>
            <w:tcW w:w="9634" w:type="dxa"/>
            <w:gridSpan w:val="4"/>
          </w:tcPr>
          <w:p w:rsidR="00D10F80" w:rsidRPr="00F30C0C" w:rsidRDefault="00D10F80" w:rsidP="00F30C0C">
            <w:pPr>
              <w:spacing w:after="0" w:line="240" w:lineRule="auto"/>
              <w:jc w:val="center"/>
              <w:rPr>
                <w:rFonts w:ascii="Times New Roman" w:hAnsi="Times New Roman"/>
                <w:sz w:val="28"/>
                <w:szCs w:val="28"/>
              </w:rPr>
            </w:pPr>
            <w:r w:rsidRPr="00F30C0C">
              <w:rPr>
                <w:rFonts w:ascii="Times New Roman" w:hAnsi="Times New Roman"/>
                <w:b/>
                <w:sz w:val="28"/>
                <w:szCs w:val="28"/>
              </w:rPr>
              <w:t>Основные средства</w:t>
            </w:r>
          </w:p>
        </w:tc>
      </w:tr>
      <w:tr w:rsidR="00D10F80" w:rsidRPr="00C33877" w:rsidTr="00957D53">
        <w:tc>
          <w:tcPr>
            <w:tcW w:w="2547"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В эксплуатации</w:t>
            </w:r>
          </w:p>
        </w:tc>
        <w:tc>
          <w:tcPr>
            <w:tcW w:w="2601"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Эксплуат</w:t>
            </w:r>
            <w:r>
              <w:rPr>
                <w:rFonts w:ascii="Times New Roman" w:hAnsi="Times New Roman"/>
                <w:sz w:val="28"/>
                <w:szCs w:val="28"/>
              </w:rPr>
              <w:t>ируется</w:t>
            </w:r>
          </w:p>
        </w:tc>
        <w:tc>
          <w:tcPr>
            <w:tcW w:w="2340"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Соответствует</w:t>
            </w:r>
          </w:p>
        </w:tc>
        <w:tc>
          <w:tcPr>
            <w:tcW w:w="2146"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 xml:space="preserve">Не заполняются </w:t>
            </w:r>
          </w:p>
        </w:tc>
      </w:tr>
      <w:tr w:rsidR="00D10F80" w:rsidRPr="00C33877" w:rsidTr="00957D53">
        <w:tc>
          <w:tcPr>
            <w:tcW w:w="2547" w:type="dxa"/>
          </w:tcPr>
          <w:p w:rsidR="00D10F80" w:rsidRPr="00C33877" w:rsidRDefault="00D10F80" w:rsidP="00F30C0C">
            <w:pPr>
              <w:spacing w:after="0" w:line="240" w:lineRule="auto"/>
              <w:rPr>
                <w:rFonts w:ascii="Times New Roman" w:hAnsi="Times New Roman"/>
                <w:sz w:val="28"/>
                <w:szCs w:val="28"/>
                <w:highlight w:val="yellow"/>
              </w:rPr>
            </w:pPr>
            <w:r w:rsidRPr="00C33877">
              <w:rPr>
                <w:rFonts w:ascii="Times New Roman" w:hAnsi="Times New Roman"/>
                <w:sz w:val="28"/>
                <w:szCs w:val="28"/>
              </w:rPr>
              <w:t xml:space="preserve">Находится в процессе списания </w:t>
            </w:r>
          </w:p>
        </w:tc>
        <w:tc>
          <w:tcPr>
            <w:tcW w:w="2601"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Списание</w:t>
            </w:r>
          </w:p>
        </w:tc>
        <w:tc>
          <w:tcPr>
            <w:tcW w:w="2340"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Не соответствует</w:t>
            </w:r>
          </w:p>
        </w:tc>
        <w:tc>
          <w:tcPr>
            <w:tcW w:w="2146"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 xml:space="preserve">Заполняются </w:t>
            </w:r>
          </w:p>
        </w:tc>
      </w:tr>
      <w:tr w:rsidR="00D10F80" w:rsidRPr="00C33877" w:rsidTr="00957D53">
        <w:tc>
          <w:tcPr>
            <w:tcW w:w="2547"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Прекращение эксплуатации</w:t>
            </w:r>
          </w:p>
        </w:tc>
        <w:tc>
          <w:tcPr>
            <w:tcW w:w="2601" w:type="dxa"/>
          </w:tcPr>
          <w:p w:rsidR="00D10F80" w:rsidRPr="00C33877" w:rsidRDefault="00D10F80" w:rsidP="00F30C0C">
            <w:pPr>
              <w:spacing w:after="0" w:line="240" w:lineRule="auto"/>
              <w:rPr>
                <w:rFonts w:ascii="Times New Roman" w:hAnsi="Times New Roman"/>
                <w:sz w:val="28"/>
                <w:szCs w:val="28"/>
              </w:rPr>
            </w:pPr>
            <w:r>
              <w:rPr>
                <w:rFonts w:ascii="Times New Roman" w:hAnsi="Times New Roman"/>
                <w:sz w:val="28"/>
                <w:szCs w:val="28"/>
              </w:rPr>
              <w:t>Готовится к утилизации</w:t>
            </w:r>
          </w:p>
        </w:tc>
        <w:tc>
          <w:tcPr>
            <w:tcW w:w="2340"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Не соответствует</w:t>
            </w:r>
          </w:p>
        </w:tc>
        <w:tc>
          <w:tcPr>
            <w:tcW w:w="2146"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 xml:space="preserve">Заполняются </w:t>
            </w:r>
          </w:p>
        </w:tc>
      </w:tr>
      <w:tr w:rsidR="00D10F80" w:rsidRPr="00C33877" w:rsidTr="00957D53">
        <w:tc>
          <w:tcPr>
            <w:tcW w:w="2547"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Требуется ремонт</w:t>
            </w:r>
          </w:p>
        </w:tc>
        <w:tc>
          <w:tcPr>
            <w:tcW w:w="2601"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Ремонт</w:t>
            </w:r>
            <w:r>
              <w:rPr>
                <w:rFonts w:ascii="Times New Roman" w:hAnsi="Times New Roman"/>
                <w:sz w:val="28"/>
                <w:szCs w:val="28"/>
              </w:rPr>
              <w:t>ируется</w:t>
            </w:r>
          </w:p>
        </w:tc>
        <w:tc>
          <w:tcPr>
            <w:tcW w:w="2340"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Соответствует</w:t>
            </w:r>
          </w:p>
        </w:tc>
        <w:tc>
          <w:tcPr>
            <w:tcW w:w="2146"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Не заполняются</w:t>
            </w:r>
          </w:p>
        </w:tc>
      </w:tr>
      <w:tr w:rsidR="00D10F80" w:rsidRPr="00C33877" w:rsidTr="00957D53">
        <w:tc>
          <w:tcPr>
            <w:tcW w:w="2547" w:type="dxa"/>
          </w:tcPr>
          <w:p w:rsidR="00D10F80" w:rsidRPr="00C33877" w:rsidRDefault="00D10F80" w:rsidP="00F30C0C">
            <w:pPr>
              <w:shd w:val="clear" w:color="auto" w:fill="FFFFFF"/>
              <w:spacing w:after="0" w:line="240" w:lineRule="auto"/>
              <w:rPr>
                <w:rFonts w:ascii="Times New Roman" w:hAnsi="Times New Roman"/>
                <w:sz w:val="28"/>
                <w:szCs w:val="28"/>
              </w:rPr>
            </w:pPr>
            <w:r w:rsidRPr="00C33877">
              <w:rPr>
                <w:rFonts w:ascii="Times New Roman" w:hAnsi="Times New Roman"/>
                <w:sz w:val="28"/>
                <w:szCs w:val="28"/>
              </w:rPr>
              <w:t>Не введен в эксплуатацию</w:t>
            </w:r>
          </w:p>
        </w:tc>
        <w:tc>
          <w:tcPr>
            <w:tcW w:w="2601" w:type="dxa"/>
          </w:tcPr>
          <w:p w:rsidR="00D10F80" w:rsidRPr="00C33877" w:rsidRDefault="00D10F80" w:rsidP="00F30C0C">
            <w:pPr>
              <w:shd w:val="clear" w:color="auto" w:fill="FFFFFF"/>
              <w:spacing w:after="0" w:line="240" w:lineRule="auto"/>
              <w:rPr>
                <w:rFonts w:ascii="Times New Roman" w:hAnsi="Times New Roman"/>
                <w:sz w:val="28"/>
                <w:szCs w:val="28"/>
              </w:rPr>
            </w:pPr>
            <w:r w:rsidRPr="00C33877">
              <w:rPr>
                <w:rFonts w:ascii="Times New Roman" w:hAnsi="Times New Roman"/>
                <w:sz w:val="28"/>
                <w:szCs w:val="28"/>
              </w:rPr>
              <w:t>Вв</w:t>
            </w:r>
            <w:r>
              <w:rPr>
                <w:rFonts w:ascii="Times New Roman" w:hAnsi="Times New Roman"/>
                <w:sz w:val="28"/>
                <w:szCs w:val="28"/>
              </w:rPr>
              <w:t>одится</w:t>
            </w:r>
            <w:r w:rsidRPr="00C33877">
              <w:rPr>
                <w:rFonts w:ascii="Times New Roman" w:hAnsi="Times New Roman"/>
                <w:sz w:val="28"/>
                <w:szCs w:val="28"/>
              </w:rPr>
              <w:t xml:space="preserve"> в эксплуатацию</w:t>
            </w:r>
          </w:p>
        </w:tc>
        <w:tc>
          <w:tcPr>
            <w:tcW w:w="2340"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Соответствует</w:t>
            </w:r>
          </w:p>
        </w:tc>
        <w:tc>
          <w:tcPr>
            <w:tcW w:w="2146"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Не заполняются</w:t>
            </w:r>
          </w:p>
        </w:tc>
      </w:tr>
      <w:tr w:rsidR="00D10F80" w:rsidRPr="00C33877" w:rsidTr="00957D53">
        <w:tc>
          <w:tcPr>
            <w:tcW w:w="2547" w:type="dxa"/>
          </w:tcPr>
          <w:p w:rsidR="00D10F80" w:rsidRPr="00C33877" w:rsidRDefault="00D10F80" w:rsidP="00F30C0C">
            <w:pPr>
              <w:shd w:val="clear" w:color="auto" w:fill="FFFFFF"/>
              <w:spacing w:after="0" w:line="240" w:lineRule="auto"/>
              <w:rPr>
                <w:rFonts w:ascii="Times New Roman" w:hAnsi="Times New Roman"/>
                <w:sz w:val="28"/>
                <w:szCs w:val="28"/>
              </w:rPr>
            </w:pPr>
            <w:r>
              <w:rPr>
                <w:rFonts w:ascii="Times New Roman" w:hAnsi="Times New Roman"/>
                <w:sz w:val="28"/>
                <w:szCs w:val="28"/>
              </w:rPr>
              <w:t>В пользовании</w:t>
            </w:r>
          </w:p>
        </w:tc>
        <w:tc>
          <w:tcPr>
            <w:tcW w:w="2601" w:type="dxa"/>
          </w:tcPr>
          <w:p w:rsidR="00D10F80" w:rsidRPr="00C33877" w:rsidRDefault="00D10F80" w:rsidP="00F30C0C">
            <w:pPr>
              <w:shd w:val="clear" w:color="auto" w:fill="FFFFFF"/>
              <w:spacing w:after="0" w:line="240" w:lineRule="auto"/>
              <w:rPr>
                <w:rFonts w:ascii="Times New Roman" w:hAnsi="Times New Roman"/>
                <w:sz w:val="28"/>
                <w:szCs w:val="28"/>
              </w:rPr>
            </w:pPr>
            <w:r>
              <w:rPr>
                <w:rFonts w:ascii="Times New Roman" w:hAnsi="Times New Roman"/>
                <w:sz w:val="28"/>
                <w:szCs w:val="28"/>
              </w:rPr>
              <w:t>Используется</w:t>
            </w:r>
          </w:p>
        </w:tc>
        <w:tc>
          <w:tcPr>
            <w:tcW w:w="2340"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Соответствует</w:t>
            </w:r>
          </w:p>
        </w:tc>
        <w:tc>
          <w:tcPr>
            <w:tcW w:w="2146"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 xml:space="preserve">Не заполняются </w:t>
            </w:r>
          </w:p>
        </w:tc>
      </w:tr>
      <w:tr w:rsidR="00D10F80" w:rsidRPr="00C33877" w:rsidTr="005237E3">
        <w:tc>
          <w:tcPr>
            <w:tcW w:w="9634" w:type="dxa"/>
            <w:gridSpan w:val="4"/>
          </w:tcPr>
          <w:p w:rsidR="00D10F80" w:rsidRPr="00C33877" w:rsidRDefault="00D10F80" w:rsidP="00F30C0C">
            <w:pPr>
              <w:spacing w:after="0" w:line="240" w:lineRule="auto"/>
              <w:jc w:val="center"/>
              <w:rPr>
                <w:rFonts w:ascii="Times New Roman" w:hAnsi="Times New Roman"/>
                <w:sz w:val="28"/>
                <w:szCs w:val="28"/>
              </w:rPr>
            </w:pPr>
            <w:r w:rsidRPr="00C33877">
              <w:rPr>
                <w:rFonts w:ascii="Times New Roman" w:hAnsi="Times New Roman"/>
                <w:b/>
                <w:sz w:val="28"/>
                <w:szCs w:val="28"/>
              </w:rPr>
              <w:t>Материальные запасы</w:t>
            </w:r>
          </w:p>
        </w:tc>
      </w:tr>
      <w:tr w:rsidR="00D10F80" w:rsidRPr="00C33877" w:rsidTr="00957D53">
        <w:tc>
          <w:tcPr>
            <w:tcW w:w="2547"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В запасе (для использования)</w:t>
            </w:r>
          </w:p>
        </w:tc>
        <w:tc>
          <w:tcPr>
            <w:tcW w:w="2601"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Использ</w:t>
            </w:r>
            <w:r>
              <w:rPr>
                <w:rFonts w:ascii="Times New Roman" w:hAnsi="Times New Roman"/>
                <w:sz w:val="28"/>
                <w:szCs w:val="28"/>
              </w:rPr>
              <w:t>уется</w:t>
            </w:r>
          </w:p>
        </w:tc>
        <w:tc>
          <w:tcPr>
            <w:tcW w:w="2340"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Соответствует</w:t>
            </w:r>
          </w:p>
        </w:tc>
        <w:tc>
          <w:tcPr>
            <w:tcW w:w="2146"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Не заполняются</w:t>
            </w:r>
          </w:p>
        </w:tc>
      </w:tr>
      <w:tr w:rsidR="00D10F80" w:rsidRPr="00C33877" w:rsidTr="00957D53">
        <w:tc>
          <w:tcPr>
            <w:tcW w:w="2547"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В запасе (на хранении)</w:t>
            </w:r>
          </w:p>
        </w:tc>
        <w:tc>
          <w:tcPr>
            <w:tcW w:w="2601"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Продолжить хранение</w:t>
            </w:r>
          </w:p>
        </w:tc>
        <w:tc>
          <w:tcPr>
            <w:tcW w:w="2340"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Соответствует</w:t>
            </w:r>
          </w:p>
        </w:tc>
        <w:tc>
          <w:tcPr>
            <w:tcW w:w="2146" w:type="dxa"/>
          </w:tcPr>
          <w:p w:rsidR="00D10F80" w:rsidRPr="00C33877" w:rsidRDefault="00D10F80" w:rsidP="00F30C0C">
            <w:pPr>
              <w:spacing w:after="0" w:line="240" w:lineRule="auto"/>
              <w:rPr>
                <w:rFonts w:ascii="Times New Roman" w:hAnsi="Times New Roman"/>
                <w:sz w:val="28"/>
                <w:szCs w:val="28"/>
              </w:rPr>
            </w:pPr>
            <w:r w:rsidRPr="00C33877">
              <w:rPr>
                <w:rFonts w:ascii="Times New Roman" w:hAnsi="Times New Roman"/>
                <w:sz w:val="28"/>
                <w:szCs w:val="28"/>
              </w:rPr>
              <w:t>Не заполняются</w:t>
            </w:r>
          </w:p>
        </w:tc>
      </w:tr>
      <w:tr w:rsidR="00D10F80" w:rsidRPr="00C33877" w:rsidTr="00957D53">
        <w:tc>
          <w:tcPr>
            <w:tcW w:w="2547" w:type="dxa"/>
          </w:tcPr>
          <w:p w:rsidR="00D10F80" w:rsidRPr="00C33877" w:rsidRDefault="00D10F80" w:rsidP="00F30C0C">
            <w:pPr>
              <w:spacing w:after="0" w:line="240" w:lineRule="auto"/>
              <w:rPr>
                <w:rFonts w:ascii="Times New Roman" w:hAnsi="Times New Roman"/>
                <w:sz w:val="28"/>
                <w:szCs w:val="28"/>
              </w:rPr>
            </w:pPr>
            <w:r>
              <w:rPr>
                <w:rFonts w:ascii="Times New Roman" w:hAnsi="Times New Roman"/>
                <w:sz w:val="28"/>
                <w:szCs w:val="28"/>
              </w:rPr>
              <w:t>Испорчен</w:t>
            </w:r>
          </w:p>
        </w:tc>
        <w:tc>
          <w:tcPr>
            <w:tcW w:w="2601" w:type="dxa"/>
          </w:tcPr>
          <w:p w:rsidR="00D10F80" w:rsidRPr="00C33877" w:rsidRDefault="00D10F80" w:rsidP="00F30C0C">
            <w:pPr>
              <w:spacing w:after="0" w:line="240" w:lineRule="auto"/>
              <w:rPr>
                <w:rFonts w:ascii="Times New Roman" w:hAnsi="Times New Roman"/>
                <w:sz w:val="28"/>
                <w:szCs w:val="28"/>
              </w:rPr>
            </w:pPr>
            <w:r>
              <w:rPr>
                <w:rFonts w:ascii="Times New Roman" w:hAnsi="Times New Roman"/>
                <w:sz w:val="28"/>
                <w:szCs w:val="28"/>
              </w:rPr>
              <w:t>Списание</w:t>
            </w:r>
          </w:p>
        </w:tc>
        <w:tc>
          <w:tcPr>
            <w:tcW w:w="2340" w:type="dxa"/>
          </w:tcPr>
          <w:p w:rsidR="00D10F80" w:rsidRPr="00C33877" w:rsidRDefault="00D10F80" w:rsidP="00F30C0C">
            <w:pPr>
              <w:spacing w:after="0" w:line="240" w:lineRule="auto"/>
              <w:rPr>
                <w:rFonts w:ascii="Times New Roman" w:hAnsi="Times New Roman"/>
                <w:sz w:val="28"/>
                <w:szCs w:val="28"/>
              </w:rPr>
            </w:pPr>
            <w:r>
              <w:rPr>
                <w:rFonts w:ascii="Times New Roman" w:hAnsi="Times New Roman"/>
                <w:sz w:val="28"/>
                <w:szCs w:val="28"/>
              </w:rPr>
              <w:t>Не соответствует</w:t>
            </w:r>
          </w:p>
        </w:tc>
        <w:tc>
          <w:tcPr>
            <w:tcW w:w="2146" w:type="dxa"/>
          </w:tcPr>
          <w:p w:rsidR="00D10F80" w:rsidRPr="00C33877" w:rsidRDefault="00D10F80" w:rsidP="00F30C0C">
            <w:pPr>
              <w:spacing w:after="0" w:line="240" w:lineRule="auto"/>
              <w:rPr>
                <w:rFonts w:ascii="Times New Roman" w:hAnsi="Times New Roman"/>
                <w:sz w:val="28"/>
                <w:szCs w:val="28"/>
              </w:rPr>
            </w:pPr>
            <w:r>
              <w:rPr>
                <w:rFonts w:ascii="Times New Roman" w:hAnsi="Times New Roman"/>
                <w:sz w:val="28"/>
                <w:szCs w:val="28"/>
              </w:rPr>
              <w:t>Заполняются</w:t>
            </w:r>
          </w:p>
        </w:tc>
      </w:tr>
    </w:tbl>
    <w:p w:rsidR="00D10F80" w:rsidRPr="00FB04AE" w:rsidRDefault="00D10F80" w:rsidP="00F30C0C">
      <w:pPr>
        <w:spacing w:after="0" w:line="240" w:lineRule="auto"/>
        <w:ind w:firstLine="360"/>
        <w:rPr>
          <w:rFonts w:ascii="Times New Roman" w:hAnsi="Times New Roman"/>
          <w:sz w:val="24"/>
          <w:szCs w:val="24"/>
          <w:lang w:eastAsia="ru-RU"/>
        </w:rPr>
      </w:pPr>
    </w:p>
    <w:p w:rsidR="00D10F80" w:rsidRPr="00DE6625" w:rsidRDefault="00D10F80" w:rsidP="00DE6625">
      <w:pPr>
        <w:shd w:val="clear" w:color="auto" w:fill="FFFFFF"/>
        <w:spacing w:after="0" w:line="240" w:lineRule="auto"/>
        <w:ind w:left="357"/>
        <w:outlineLvl w:val="2"/>
        <w:rPr>
          <w:rFonts w:ascii="Times New Roman" w:hAnsi="Times New Roman"/>
          <w:b/>
          <w:bCs/>
          <w:caps/>
          <w:sz w:val="24"/>
          <w:szCs w:val="24"/>
          <w:lang w:eastAsia="ru-RU"/>
        </w:rPr>
      </w:pPr>
    </w:p>
    <w:p w:rsidR="00D10F80" w:rsidRPr="00FB04AE" w:rsidRDefault="00D10F80" w:rsidP="00F30C0C">
      <w:pPr>
        <w:numPr>
          <w:ilvl w:val="0"/>
          <w:numId w:val="2"/>
        </w:numPr>
        <w:shd w:val="clear" w:color="auto" w:fill="FFFFFF"/>
        <w:spacing w:after="0" w:line="240" w:lineRule="auto"/>
        <w:ind w:left="714" w:hanging="357"/>
        <w:jc w:val="center"/>
        <w:outlineLvl w:val="2"/>
        <w:rPr>
          <w:rFonts w:ascii="Times New Roman" w:hAnsi="Times New Roman"/>
          <w:b/>
          <w:bCs/>
          <w:caps/>
          <w:sz w:val="24"/>
          <w:szCs w:val="24"/>
          <w:lang w:eastAsia="ru-RU"/>
        </w:rPr>
      </w:pPr>
      <w:r w:rsidRPr="00FB04AE">
        <w:rPr>
          <w:rFonts w:ascii="Times New Roman" w:hAnsi="Times New Roman"/>
          <w:b/>
          <w:bCs/>
          <w:sz w:val="24"/>
          <w:szCs w:val="24"/>
          <w:lang w:eastAsia="ru-RU"/>
        </w:rPr>
        <w:t xml:space="preserve">ПРАВИЛА ПРОВЕДЕНИЯ ИНВЕНТАРИЗАЦИИ </w:t>
      </w:r>
      <w:r w:rsidRPr="00FB04AE">
        <w:rPr>
          <w:rFonts w:ascii="Times New Roman" w:hAnsi="Times New Roman"/>
          <w:b/>
          <w:bCs/>
          <w:caps/>
          <w:sz w:val="24"/>
          <w:szCs w:val="24"/>
          <w:lang w:eastAsia="ru-RU"/>
        </w:rPr>
        <w:t>в целях выявления</w:t>
      </w:r>
      <w:r w:rsidRPr="00FB04AE">
        <w:rPr>
          <w:rFonts w:ascii="Times New Roman" w:hAnsi="Times New Roman"/>
          <w:bCs/>
          <w:caps/>
          <w:sz w:val="24"/>
          <w:szCs w:val="24"/>
          <w:lang w:eastAsia="ru-RU"/>
        </w:rPr>
        <w:t xml:space="preserve"> </w:t>
      </w:r>
      <w:r w:rsidRPr="00FB04AE">
        <w:rPr>
          <w:rFonts w:ascii="Times New Roman" w:hAnsi="Times New Roman"/>
          <w:b/>
          <w:bCs/>
          <w:caps/>
          <w:sz w:val="24"/>
          <w:szCs w:val="24"/>
          <w:lang w:eastAsia="ru-RU"/>
        </w:rPr>
        <w:t>признаков обесценения активов</w:t>
      </w:r>
    </w:p>
    <w:p w:rsidR="00D10F80" w:rsidRDefault="00D10F80" w:rsidP="00DE6625">
      <w:pPr>
        <w:autoSpaceDE w:val="0"/>
        <w:autoSpaceDN w:val="0"/>
        <w:adjustRightInd w:val="0"/>
        <w:spacing w:after="0" w:line="240" w:lineRule="auto"/>
        <w:ind w:left="714"/>
        <w:jc w:val="both"/>
        <w:rPr>
          <w:rFonts w:ascii="Times New Roman" w:hAnsi="Times New Roman"/>
          <w:sz w:val="28"/>
          <w:szCs w:val="28"/>
          <w:lang w:eastAsia="ru-RU"/>
        </w:rPr>
      </w:pPr>
    </w:p>
    <w:p w:rsidR="00D10F80" w:rsidRPr="00FB04AE" w:rsidRDefault="00D10F80" w:rsidP="00F30C0C">
      <w:pPr>
        <w:autoSpaceDE w:val="0"/>
        <w:autoSpaceDN w:val="0"/>
        <w:adjustRightInd w:val="0"/>
        <w:spacing w:after="0" w:line="240" w:lineRule="auto"/>
        <w:ind w:firstLine="539"/>
        <w:jc w:val="both"/>
        <w:rPr>
          <w:rFonts w:ascii="Times New Roman" w:hAnsi="Times New Roman"/>
          <w:sz w:val="28"/>
          <w:szCs w:val="28"/>
          <w:lang w:eastAsia="ru-RU"/>
        </w:rPr>
      </w:pPr>
      <w:r w:rsidRPr="00FB04AE">
        <w:rPr>
          <w:rFonts w:ascii="Times New Roman" w:hAnsi="Times New Roman"/>
          <w:sz w:val="28"/>
          <w:szCs w:val="28"/>
          <w:lang w:eastAsia="ru-RU"/>
        </w:rPr>
        <w:t xml:space="preserve">Инвентаризационная комиссия  проводит анализ наличия признаков обесценения и в случае выявления таких признаков в отношении объектов имущества проводит процедуру тестирования объектов, по которым выявлены признаки обесценения, в соответствии с положениями федерального </w:t>
      </w:r>
      <w:hyperlink r:id="rId7" w:history="1">
        <w:r w:rsidRPr="00FB04AE">
          <w:rPr>
            <w:rFonts w:ascii="Times New Roman" w:hAnsi="Times New Roman"/>
            <w:sz w:val="28"/>
            <w:szCs w:val="28"/>
            <w:lang w:eastAsia="ru-RU"/>
          </w:rPr>
          <w:t>стандарта</w:t>
        </w:r>
      </w:hyperlink>
      <w:r w:rsidRPr="00FB04AE">
        <w:rPr>
          <w:rFonts w:ascii="Times New Roman" w:hAnsi="Times New Roman"/>
          <w:sz w:val="28"/>
          <w:szCs w:val="28"/>
          <w:lang w:eastAsia="ru-RU"/>
        </w:rPr>
        <w:t xml:space="preserve"> бухгалтерского учета для организаций государственного сектора "Обесценение активов", утвержденного приказом Министерства финансов Российской Федерации от 28.12.2017 N 259н.</w:t>
      </w:r>
    </w:p>
    <w:p w:rsidR="00D10F80" w:rsidRPr="00FB04AE" w:rsidRDefault="00D10F80" w:rsidP="00F30C0C">
      <w:pPr>
        <w:autoSpaceDE w:val="0"/>
        <w:autoSpaceDN w:val="0"/>
        <w:adjustRightInd w:val="0"/>
        <w:spacing w:after="0" w:line="240" w:lineRule="auto"/>
        <w:jc w:val="both"/>
        <w:rPr>
          <w:rFonts w:ascii="Times New Roman" w:hAnsi="Times New Roman"/>
          <w:sz w:val="28"/>
          <w:szCs w:val="28"/>
          <w:lang w:eastAsia="ru-RU"/>
        </w:rPr>
      </w:pPr>
      <w:r w:rsidRPr="00FB04AE">
        <w:rPr>
          <w:rFonts w:ascii="Times New Roman" w:hAnsi="Times New Roman"/>
          <w:sz w:val="28"/>
          <w:szCs w:val="28"/>
          <w:lang w:eastAsia="ru-RU"/>
        </w:rPr>
        <w:t xml:space="preserve">          Выявление признаков обесценения актива проводится путем анализа наличия любых признаков, указывающих на возможное обесценение актива (далее - тест на обесценение, признаки обесценения):</w:t>
      </w:r>
    </w:p>
    <w:p w:rsidR="00D10F80" w:rsidRPr="00FB04AE" w:rsidRDefault="00D10F80" w:rsidP="00F30C0C">
      <w:pPr>
        <w:autoSpaceDE w:val="0"/>
        <w:autoSpaceDN w:val="0"/>
        <w:adjustRightInd w:val="0"/>
        <w:spacing w:after="0" w:line="240" w:lineRule="auto"/>
        <w:jc w:val="both"/>
        <w:rPr>
          <w:rFonts w:ascii="Times New Roman" w:hAnsi="Times New Roman"/>
          <w:sz w:val="28"/>
          <w:szCs w:val="28"/>
          <w:lang w:eastAsia="ru-RU"/>
        </w:rPr>
      </w:pPr>
      <w:r w:rsidRPr="00FB04AE">
        <w:rPr>
          <w:rFonts w:ascii="Times New Roman" w:hAnsi="Times New Roman"/>
          <w:sz w:val="28"/>
          <w:szCs w:val="28"/>
          <w:lang w:eastAsia="ru-RU"/>
        </w:rPr>
        <w:t xml:space="preserve">               </w:t>
      </w:r>
      <w:r>
        <w:rPr>
          <w:rFonts w:ascii="Times New Roman" w:hAnsi="Times New Roman"/>
          <w:sz w:val="28"/>
          <w:szCs w:val="28"/>
          <w:lang w:eastAsia="ru-RU"/>
        </w:rPr>
        <w:t>1</w:t>
      </w:r>
      <w:r w:rsidRPr="00FB04AE">
        <w:rPr>
          <w:rFonts w:ascii="Times New Roman" w:hAnsi="Times New Roman"/>
          <w:sz w:val="28"/>
          <w:szCs w:val="28"/>
          <w:lang w:eastAsia="ru-RU"/>
        </w:rPr>
        <w:t xml:space="preserve">. </w:t>
      </w:r>
      <w:r>
        <w:rPr>
          <w:rFonts w:ascii="Times New Roman" w:hAnsi="Times New Roman"/>
          <w:sz w:val="28"/>
          <w:szCs w:val="28"/>
          <w:lang w:eastAsia="ru-RU"/>
        </w:rPr>
        <w:t>И</w:t>
      </w:r>
      <w:r w:rsidRPr="00FB04AE">
        <w:rPr>
          <w:rFonts w:ascii="Times New Roman" w:hAnsi="Times New Roman"/>
          <w:sz w:val="28"/>
          <w:szCs w:val="28"/>
          <w:lang w:eastAsia="ru-RU"/>
        </w:rPr>
        <w:t>ндивидуально для каждого актива, не генерирующего денежные потоки – актива, от которых ожидаются поступления полезного потенциала и целью владения которым не является получение денежных потоков.</w:t>
      </w:r>
    </w:p>
    <w:p w:rsidR="00D10F80" w:rsidRPr="00FB04AE" w:rsidRDefault="00D10F80" w:rsidP="00F30C0C">
      <w:pPr>
        <w:autoSpaceDE w:val="0"/>
        <w:autoSpaceDN w:val="0"/>
        <w:adjustRightInd w:val="0"/>
        <w:spacing w:after="0" w:line="240" w:lineRule="auto"/>
        <w:jc w:val="both"/>
        <w:rPr>
          <w:rFonts w:ascii="Times New Roman" w:hAnsi="Times New Roman"/>
          <w:sz w:val="28"/>
          <w:szCs w:val="28"/>
          <w:lang w:eastAsia="ru-RU"/>
        </w:rPr>
      </w:pPr>
      <w:r w:rsidRPr="00FB04AE">
        <w:rPr>
          <w:rFonts w:ascii="Times New Roman" w:hAnsi="Times New Roman"/>
          <w:sz w:val="28"/>
          <w:szCs w:val="28"/>
          <w:lang w:eastAsia="ru-RU"/>
        </w:rPr>
        <w:t xml:space="preserve">                2.</w:t>
      </w:r>
      <w:r>
        <w:rPr>
          <w:rFonts w:ascii="Times New Roman" w:hAnsi="Times New Roman"/>
          <w:sz w:val="28"/>
          <w:szCs w:val="28"/>
          <w:lang w:eastAsia="ru-RU"/>
        </w:rPr>
        <w:t xml:space="preserve"> И</w:t>
      </w:r>
      <w:r w:rsidRPr="00FB04AE">
        <w:rPr>
          <w:rFonts w:ascii="Times New Roman" w:hAnsi="Times New Roman"/>
          <w:sz w:val="28"/>
          <w:szCs w:val="28"/>
          <w:lang w:eastAsia="ru-RU"/>
        </w:rPr>
        <w:t>ндивидуально для каждого актива, генерирующего денежные потоки -актива, целью владения которым является получение экономических выгод (доходов) в форме денежных средств или их эквивалентов, независимо от факта получения такого дохода.</w:t>
      </w:r>
    </w:p>
    <w:p w:rsidR="00D10F80" w:rsidRPr="00FB04AE" w:rsidRDefault="00D10F80" w:rsidP="00F30C0C">
      <w:pPr>
        <w:autoSpaceDE w:val="0"/>
        <w:autoSpaceDN w:val="0"/>
        <w:adjustRightInd w:val="0"/>
        <w:spacing w:after="0" w:line="240" w:lineRule="auto"/>
        <w:jc w:val="both"/>
        <w:rPr>
          <w:rFonts w:ascii="Times New Roman" w:hAnsi="Times New Roman"/>
          <w:sz w:val="28"/>
          <w:szCs w:val="28"/>
          <w:lang w:eastAsia="ru-RU"/>
        </w:rPr>
      </w:pPr>
      <w:r w:rsidRPr="00FB04AE">
        <w:rPr>
          <w:rFonts w:ascii="Times New Roman" w:hAnsi="Times New Roman"/>
          <w:sz w:val="28"/>
          <w:szCs w:val="28"/>
          <w:lang w:eastAsia="ru-RU"/>
        </w:rPr>
        <w:t xml:space="preserve">              3. </w:t>
      </w:r>
      <w:r>
        <w:rPr>
          <w:rFonts w:ascii="Times New Roman" w:hAnsi="Times New Roman"/>
          <w:sz w:val="28"/>
          <w:szCs w:val="28"/>
          <w:lang w:eastAsia="ru-RU"/>
        </w:rPr>
        <w:t>Д</w:t>
      </w:r>
      <w:r w:rsidRPr="00FB04AE">
        <w:rPr>
          <w:rFonts w:ascii="Times New Roman" w:hAnsi="Times New Roman"/>
          <w:sz w:val="28"/>
          <w:szCs w:val="28"/>
          <w:lang w:eastAsia="ru-RU"/>
        </w:rPr>
        <w:t>ля каждой отдельной единицы, генерирующей денежные потоки, которая объединяет как активы, от самостоятельного использования которых ожидаются поступления полезного потенциала и целью владения которыми не является получение денежных потоков, так и активы, при самостоятельном использовании которых возможно получение положительного денежного потока.</w:t>
      </w:r>
    </w:p>
    <w:p w:rsidR="00D10F80" w:rsidRDefault="00D10F80" w:rsidP="00F30C0C">
      <w:pPr>
        <w:autoSpaceDE w:val="0"/>
        <w:autoSpaceDN w:val="0"/>
        <w:adjustRightInd w:val="0"/>
        <w:spacing w:after="0" w:line="240" w:lineRule="auto"/>
        <w:ind w:firstLine="540"/>
        <w:jc w:val="both"/>
        <w:rPr>
          <w:rFonts w:ascii="Times New Roman" w:hAnsi="Times New Roman"/>
          <w:sz w:val="28"/>
          <w:szCs w:val="28"/>
          <w:lang w:eastAsia="ru-RU"/>
        </w:rPr>
      </w:pPr>
      <w:r w:rsidRPr="00FB04AE">
        <w:rPr>
          <w:rFonts w:ascii="Times New Roman" w:hAnsi="Times New Roman"/>
          <w:sz w:val="28"/>
          <w:szCs w:val="28"/>
          <w:lang w:eastAsia="ru-RU"/>
        </w:rPr>
        <w:t xml:space="preserve">  </w:t>
      </w:r>
      <w:bookmarkEnd w:id="0"/>
    </w:p>
    <w:p w:rsidR="00D10F80" w:rsidRDefault="00D10F80" w:rsidP="00F30C0C">
      <w:pPr>
        <w:autoSpaceDE w:val="0"/>
        <w:autoSpaceDN w:val="0"/>
        <w:adjustRightInd w:val="0"/>
        <w:spacing w:after="0" w:line="240" w:lineRule="auto"/>
        <w:ind w:firstLine="540"/>
        <w:jc w:val="both"/>
        <w:rPr>
          <w:rFonts w:ascii="Times New Roman" w:hAnsi="Times New Roman"/>
          <w:sz w:val="28"/>
          <w:szCs w:val="28"/>
          <w:lang w:eastAsia="ru-RU"/>
        </w:rPr>
      </w:pPr>
    </w:p>
    <w:p w:rsidR="00D10F80" w:rsidRDefault="00D10F80" w:rsidP="00F30C0C">
      <w:pPr>
        <w:spacing w:after="0" w:line="240" w:lineRule="auto"/>
      </w:pPr>
      <w:bookmarkStart w:id="1" w:name="_GoBack"/>
      <w:bookmarkEnd w:id="1"/>
    </w:p>
    <w:sectPr w:rsidR="00D10F80" w:rsidSect="00DE6625">
      <w:headerReference w:type="even" r:id="rId8"/>
      <w:headerReference w:type="default" r:id="rId9"/>
      <w:pgSz w:w="11906" w:h="16838" w:code="9"/>
      <w:pgMar w:top="1134" w:right="849" w:bottom="1134" w:left="1701" w:header="720" w:footer="720" w:gutter="0"/>
      <w:pgNumType w:start="319"/>
      <w:cols w:space="720"/>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F80" w:rsidRDefault="00D10F80" w:rsidP="00006A6C">
      <w:pPr>
        <w:spacing w:after="0" w:line="240" w:lineRule="auto"/>
      </w:pPr>
      <w:r>
        <w:separator/>
      </w:r>
    </w:p>
  </w:endnote>
  <w:endnote w:type="continuationSeparator" w:id="0">
    <w:p w:rsidR="00D10F80" w:rsidRDefault="00D10F80" w:rsidP="00006A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F80" w:rsidRDefault="00D10F80" w:rsidP="00006A6C">
      <w:pPr>
        <w:spacing w:after="0" w:line="240" w:lineRule="auto"/>
      </w:pPr>
      <w:r>
        <w:separator/>
      </w:r>
    </w:p>
  </w:footnote>
  <w:footnote w:type="continuationSeparator" w:id="0">
    <w:p w:rsidR="00D10F80" w:rsidRDefault="00D10F80" w:rsidP="00006A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80" w:rsidRDefault="00D10F80" w:rsidP="00DE66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0F80" w:rsidRDefault="00D10F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F80" w:rsidRDefault="00D10F80" w:rsidP="00DE66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319</w:t>
    </w:r>
    <w:r>
      <w:rPr>
        <w:rStyle w:val="PageNumber"/>
      </w:rPr>
      <w:fldChar w:fldCharType="end"/>
    </w:r>
  </w:p>
  <w:p w:rsidR="00D10F80" w:rsidRDefault="00D10F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6D81"/>
    <w:multiLevelType w:val="multilevel"/>
    <w:tmpl w:val="DF009D48"/>
    <w:lvl w:ilvl="0">
      <w:start w:val="1"/>
      <w:numFmt w:val="decimal"/>
      <w:lvlText w:val="%1."/>
      <w:lvlJc w:val="left"/>
      <w:pPr>
        <w:ind w:left="1211"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6D854432"/>
    <w:multiLevelType w:val="hybridMultilevel"/>
    <w:tmpl w:val="18D628AE"/>
    <w:lvl w:ilvl="0" w:tplc="C638E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04AE"/>
    <w:rsid w:val="00006A6C"/>
    <w:rsid w:val="00030DF1"/>
    <w:rsid w:val="000B3692"/>
    <w:rsid w:val="00141F31"/>
    <w:rsid w:val="00193632"/>
    <w:rsid w:val="001D085A"/>
    <w:rsid w:val="001E5EC8"/>
    <w:rsid w:val="002C5A04"/>
    <w:rsid w:val="002F4164"/>
    <w:rsid w:val="003A19E2"/>
    <w:rsid w:val="00470456"/>
    <w:rsid w:val="004F3A21"/>
    <w:rsid w:val="005237E3"/>
    <w:rsid w:val="00591ED5"/>
    <w:rsid w:val="006054D3"/>
    <w:rsid w:val="00621255"/>
    <w:rsid w:val="006753BB"/>
    <w:rsid w:val="006C1114"/>
    <w:rsid w:val="008A4164"/>
    <w:rsid w:val="00957D53"/>
    <w:rsid w:val="00B10459"/>
    <w:rsid w:val="00B11CF0"/>
    <w:rsid w:val="00BF51E0"/>
    <w:rsid w:val="00C33877"/>
    <w:rsid w:val="00C52D08"/>
    <w:rsid w:val="00D10F80"/>
    <w:rsid w:val="00D24936"/>
    <w:rsid w:val="00D52226"/>
    <w:rsid w:val="00DE6625"/>
    <w:rsid w:val="00E444BB"/>
    <w:rsid w:val="00E663C6"/>
    <w:rsid w:val="00E8320A"/>
    <w:rsid w:val="00EA0299"/>
    <w:rsid w:val="00F20ACB"/>
    <w:rsid w:val="00F30C0C"/>
    <w:rsid w:val="00F94479"/>
    <w:rsid w:val="00FB04A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3C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Сетка таблицы2"/>
    <w:uiPriority w:val="99"/>
    <w:rsid w:val="00FB04A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FB04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B04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04AE"/>
    <w:rPr>
      <w:rFonts w:ascii="Tahoma" w:hAnsi="Tahoma" w:cs="Tahoma"/>
      <w:sz w:val="16"/>
      <w:szCs w:val="16"/>
    </w:rPr>
  </w:style>
  <w:style w:type="paragraph" w:styleId="Header">
    <w:name w:val="header"/>
    <w:basedOn w:val="Normal"/>
    <w:link w:val="HeaderChar"/>
    <w:uiPriority w:val="99"/>
    <w:rsid w:val="00006A6C"/>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06A6C"/>
    <w:rPr>
      <w:rFonts w:cs="Times New Roman"/>
    </w:rPr>
  </w:style>
  <w:style w:type="paragraph" w:styleId="Footer">
    <w:name w:val="footer"/>
    <w:basedOn w:val="Normal"/>
    <w:link w:val="FooterChar"/>
    <w:uiPriority w:val="99"/>
    <w:rsid w:val="00006A6C"/>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06A6C"/>
    <w:rPr>
      <w:rFonts w:cs="Times New Roman"/>
    </w:rPr>
  </w:style>
  <w:style w:type="character" w:styleId="PageNumber">
    <w:name w:val="page number"/>
    <w:basedOn w:val="DefaultParagraphFont"/>
    <w:uiPriority w:val="99"/>
    <w:rsid w:val="00DE6625"/>
    <w:rPr>
      <w:rFonts w:cs="Times New Roman"/>
    </w:rPr>
  </w:style>
</w:styles>
</file>

<file path=word/webSettings.xml><?xml version="1.0" encoding="utf-8"?>
<w:webSettings xmlns:r="http://schemas.openxmlformats.org/officeDocument/2006/relationships" xmlns:w="http://schemas.openxmlformats.org/wordprocessingml/2006/main">
  <w:divs>
    <w:div w:id="1462157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86A246E66EA17DA2D47639EC3F1FA765DFB889C545B978922133CA72E81EB4766E4BEA03290B70DA8407543FD6A58C2F79CA1C589A958A27l4z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1210</TotalTime>
  <Pages>7</Pages>
  <Words>2049</Words>
  <Characters>11685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Николаевна Игнатович</dc:creator>
  <cp:keywords/>
  <dc:description/>
  <cp:lastModifiedBy>User</cp:lastModifiedBy>
  <cp:revision>6</cp:revision>
  <cp:lastPrinted>2021-09-02T06:33:00Z</cp:lastPrinted>
  <dcterms:created xsi:type="dcterms:W3CDTF">2021-08-31T17:28:00Z</dcterms:created>
  <dcterms:modified xsi:type="dcterms:W3CDTF">2021-09-02T06:33:00Z</dcterms:modified>
</cp:coreProperties>
</file>