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E15C86" w:rsidP="00E15C86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  <w:t>Федеральный закон от 10.01.2002 N 7-ФЗ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  <w:t>"Об охране окружающей среды"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</w:p>
    <w:p w:rsidR="00E15C86" w:rsidRDefault="00E15C86" w:rsidP="005C67D3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Cs/>
          <w:color w:val="00B050"/>
          <w:sz w:val="20"/>
          <w:szCs w:val="20"/>
          <w:lang w:val="ru-RU"/>
        </w:rPr>
        <w:t>В числе основных принципов охраны окружающей среды</w:t>
      </w: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 xml:space="preserve"> -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обязательность </w:t>
      </w:r>
      <w:r w:rsidRPr="005C67D3">
        <w:rPr>
          <w:rFonts w:asciiTheme="minorHAnsi" w:hAnsiTheme="minorHAnsi" w:cstheme="minorHAnsi"/>
          <w:b/>
          <w:color w:val="00B050"/>
          <w:sz w:val="20"/>
          <w:szCs w:val="20"/>
          <w:lang w:val="ru-RU"/>
        </w:rPr>
        <w:t>участия в этой деятельности общественных объединений и физических лиц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(ст. 3).</w:t>
      </w:r>
    </w:p>
    <w:p w:rsid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="Arial Narrow" w:hAnsi="Arial Narrow"/>
          <w:b/>
          <w:color w:val="FF3300"/>
          <w:lang w:val="ru-RU"/>
        </w:rPr>
      </w:pPr>
    </w:p>
    <w:p w:rsidR="00E15C86" w:rsidRDefault="00712DFB" w:rsidP="00051041">
      <w:pPr>
        <w:jc w:val="center"/>
        <w:rPr>
          <w:rFonts w:ascii="Arial Narrow" w:hAnsi="Arial Narrow"/>
          <w:b/>
          <w:color w:val="FF330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A38E4A7" wp14:editId="73A8CBCF">
            <wp:extent cx="2135622" cy="1609725"/>
            <wp:effectExtent l="0" t="0" r="0" b="0"/>
            <wp:docPr id="12" name="Рисунок 12" descr="ÐÐ°ÑÑÐ¸Ð½ÐºÐ¸ Ð¿Ð¾ Ð·Ð°Ð¿ÑÐ¾ÑÑ ÐÑÐ°Ð²Ð° Ð¾Ð±ÑÐµÑÑÐ²ÐµÐ½Ð½ÑÑ Ð¾Ð±ÑÐµÐ´Ð¸Ð½ÐµÐ½Ð¸Ð¹ Ð¿Ð¾ Ð¾ÑÑÐ°Ð½Ðµ Ð¾ÐºÑÑÐ¶Ð°ÑÑÐµÐ¹ ÑÑÐµ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ÑÐ°Ð²Ð° Ð¾Ð±ÑÐµÑÑÐ²ÐµÐ½Ð½ÑÑ Ð¾Ð±ÑÐµÐ´Ð¸Ð½ÐµÐ½Ð¸Ð¹ Ð¿Ð¾ Ð¾ÑÑÐ°Ð½Ðµ Ð¾ÐºÑÑÐ¶Ð°ÑÑÐµÐ¹ ÑÑÐµÐ´Ñ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8" cy="161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center"/>
        <w:outlineLvl w:val="1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center"/>
        <w:outlineLvl w:val="1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>Права общественных объединений в области охраны окружающей среды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1. Общественные объединения и некоммерческие организации имеют право осуществлять деятельность в области охраны окружающей среды, в том числе: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разрабатывать, пропагандировать и реализовывать в установленном порядке программы в области охраны окружающей среды, защищать права и законные интересы граждан в области охраны окружающей среды, привлекать на добровольной основе граждан к осуществлению деятельности в области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за счет собственных и привлеченных средств осуществлять и пропагандировать деятельность в области охраны окружающей среды, воспроизводства природных ресурсов, обеспечения экологической безопасности;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решении вопросов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организовывать собрания, митинги, демонстрации, шествия и пикетирование, сбор подписей под петициями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и принимать участие в указанных мероприятиях в соответствии с </w:t>
      </w:r>
      <w:hyperlink r:id="rId9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законодательством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Российской Федерации, вносить предложения о проведении референдумов по вопросам охраны окружающей среды и об обсуждении проектов, касающихся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к должностным лицам о получении своевременной, полной и достоверной информации о состоянии окружающей среды, о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участвовать в установленном порядке в принятии хозяйственных и иных решений, реализация которых может оказать негативное воздействие на окружающую среду, жизнь, здоровье и имущество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заявлениями, исками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организовывать и проводить в установленном порядке слушания по вопросам проектирования, размещения объектов, хозяйственная и иная деятельность которых может нанести вред окружающей среде, создать угрозу жизни, здоровью и имуществу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организовывать и проводить в установленном </w:t>
      </w:r>
      <w:hyperlink r:id="rId10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порядке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общественную экологическую экспертизу;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рекомендовать своих представителей для участия в проведении государственной экологической экспертизы;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подавать в органы государственной власти Российской Федерации, органы государственной власти субъектов Российской Федерации, органы местного самоуправления, суд обращения об отмене решений о проектировании, размещении, строительстве, реконструкции, об эксплуатации объектов, хозяйственная и иная деятельность которых может оказать негативное воздействие на окружающую среду, об ограничении, о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приостановлении и прекращении хозяйственной и иной деятельности, оказывающей негативное воздействие на окружающую среду;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предъявлять в суд иски о возмещении вреда окружающей среде;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осуществлять другие предусмотренные законодательством права (ст. 12).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2. В случае,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 xml:space="preserve">если должностные лица препятствуют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гражданам, а также общественным объединениям в реализации названных прав </w:t>
      </w:r>
      <w:r w:rsidRPr="005C67D3">
        <w:rPr>
          <w:rFonts w:asciiTheme="minorHAnsi" w:hAnsiTheme="minorHAnsi" w:cstheme="minorHAnsi"/>
          <w:b/>
          <w:color w:val="00B050"/>
          <w:sz w:val="20"/>
          <w:szCs w:val="20"/>
          <w:lang w:val="ru-RU"/>
        </w:rPr>
        <w:t xml:space="preserve">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указанные должностные лица привлекаются к ответственности в установленном порядке (ст. 13).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3. В целях реализации права граждан на благоприятную окружающую среду по ходатайству общественных объединений – некоммерческих организаций могут создаваться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>лесопарковые зеленые пояса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-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средообразующие, природоохранные, экологические, санитарно-гигиенические и рекреационные функции (ст. 62.1, 62.2). </w:t>
      </w:r>
    </w:p>
    <w:p w:rsidR="005C67D3" w:rsidRDefault="005C67D3" w:rsidP="00F113BC">
      <w:pPr>
        <w:spacing w:after="120"/>
        <w:jc w:val="center"/>
        <w:rPr>
          <w:noProof/>
          <w:lang w:val="ru-RU" w:eastAsia="ru-RU" w:bidi="ar-SA"/>
        </w:rPr>
      </w:pPr>
    </w:p>
    <w:p w:rsidR="005C67D3" w:rsidRDefault="005C67D3" w:rsidP="005C67D3">
      <w:pPr>
        <w:jc w:val="center"/>
        <w:rPr>
          <w:rFonts w:ascii="Arial Narrow" w:hAnsi="Arial Narrow"/>
          <w:b/>
          <w:color w:val="FF330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358F76" wp14:editId="1ACD745E">
            <wp:extent cx="1714500" cy="2145842"/>
            <wp:effectExtent l="0" t="0" r="0" b="0"/>
            <wp:docPr id="6" name="Рисунок 6" descr="C:\Users\Кулаковская\Desktop\Documents\1\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лаковская\Desktop\Documents\1\Лес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56" cy="21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5C67D3" w:rsidP="00F113BC">
      <w:pPr>
        <w:spacing w:after="120"/>
        <w:jc w:val="center"/>
        <w:rPr>
          <w:rFonts w:ascii="Arial Narrow" w:hAnsi="Arial Narrow"/>
          <w:b/>
          <w:sz w:val="25"/>
          <w:szCs w:val="25"/>
          <w:lang w:val="ru-RU"/>
        </w:rPr>
      </w:pPr>
    </w:p>
    <w:p w:rsidR="00F113BC" w:rsidRPr="00F113BC" w:rsidRDefault="00712DFB" w:rsidP="00F113BC">
      <w:pPr>
        <w:spacing w:after="120"/>
        <w:jc w:val="center"/>
        <w:rPr>
          <w:rFonts w:ascii="Arial Narrow" w:hAnsi="Arial Narrow"/>
          <w:b/>
          <w:sz w:val="25"/>
          <w:szCs w:val="25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31042CAF" wp14:editId="0832F6C4">
            <wp:extent cx="1562100" cy="1319107"/>
            <wp:effectExtent l="0" t="0" r="0" b="0"/>
            <wp:docPr id="10" name="Рисунок 10" descr="ÐÐ°ÑÑÐ¸Ð½ÐºÐ¸ Ð¿Ð¾ Ð·Ð°Ð¿ÑÐ¾ÑÑ Ð¾Ð±ÑÐµÑÑÐ²ÐµÐ½Ð½ÑÐ¹ Ð¸Ð½ÑÐ¿ÐµÐºÑÐ¾Ñ Ð¿Ð¾ Ð¾ÑÑÐ°Ð½Ðµ Ð¾ÐºÑÑÐ¶Ð°ÑÑÐµÐ¹ ÑÑÐµ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±ÑÐµÑÑÐ²ÐµÐ½Ð½ÑÐ¹ Ð¸Ð½ÑÐ¿ÐµÐºÑÐ¾Ñ Ð¿Ð¾ Ð¾ÑÑÐ°Ð½Ðµ Ð¾ÐºÑÑÐ¶Ð°ÑÑÐµÐ¹ ÑÑÐµÐ´Ñ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1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86" w:rsidRPr="005C67D3" w:rsidRDefault="00E15C86" w:rsidP="005C67D3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>Общественный экологический контроль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1. Общественный контроль в области охраны окружающей среды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2. Общественный экологический контроль осуществляется общественными объединениями в соответствии с их уставами, а также гражданами в соответствии с законодательством.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3. Результаты общественного экологического контроля,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4. Граждане, изъявившие желание оказывать органам государственного надзора содействие в природоохранной деятельности на добровольной и безвозмездной основе, могут осуществлять общественный экологический контроль в качестве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>общественных инспекторов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по охране окружающей среды. Общественные инспекторы при осуществлении указанной деятельности взаимодействуют с общественными советами органов государственного лесного и экологического надзора.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5. Общественным инспекторам по охране окружающей среды выдаются удостоверения.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6. Общественные инспекторы по охране окружающей среды имеют право: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1) фиксировать, в том числе с помощью фото- и видеосъемки, правонарушения в области охраны окружающей среды и природопользования и направлять соответствующие материалы, содержащие данные,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указывающие на наличие признаков административного правонарушения, в органы государственного надзора;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2) принимать меры по обеспечению сохранности вещественных доказательств на местах совершения правонарушений;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3) сообщать в устной форме физическим лицам информацию, касающуюся совершения физическим лицом правонарушения в области охраны окружающей среды;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4) содействовать в реализации государственных программ по охране объектов животного мира и среды их обитания;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5) обращаться в органы государственной власти Российской Федерации, субъектов Российской Федерации, органы местного самоуправления, к должностным лицам, в организации о предоставлении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 негативно воздействуют на окружающую среду, создают угрозу жизни, здоровью и имуществу граждан;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6) участвовать в работе по экологическому просвещению населения.</w:t>
      </w:r>
    </w:p>
    <w:p w:rsidR="00E15C86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7. </w:t>
      </w:r>
      <w:hyperlink r:id="rId13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организации деятельности общественных инспекторов, в том числе </w:t>
      </w:r>
      <w:hyperlink r:id="rId14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форма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удостоверения, </w:t>
      </w:r>
      <w:hyperlink r:id="rId15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его выдач, </w:t>
      </w:r>
      <w:hyperlink r:id="rId16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взаимодействия с общественными советами органов государственного лесного и экологического надзора устанавливается уполномоченным федеральным органом исполнительной власти. (ст. 68)</w:t>
      </w:r>
    </w:p>
    <w:p w:rsidR="005C67D3" w:rsidRPr="005C67D3" w:rsidRDefault="005C67D3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BC7703" w:rsidRDefault="00EF1A2F" w:rsidP="00EF1A2F">
      <w:pPr>
        <w:ind w:firstLine="1985"/>
        <w:rPr>
          <w:rFonts w:ascii="Arial Narrow" w:hAnsi="Arial Narrow"/>
          <w:b/>
          <w:color w:val="0066FF"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1" name="Рисунок 2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2F" w:rsidRPr="00FA74B5" w:rsidRDefault="00EF1A2F" w:rsidP="001557CF">
      <w:pP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</w:pPr>
    </w:p>
    <w:p w:rsidR="001903CA" w:rsidRPr="00842152" w:rsidRDefault="001903CA" w:rsidP="001903CA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>Якутская природоохранная прокуратура Республики Саха (Якутия)</w:t>
      </w:r>
    </w:p>
    <w:p w:rsidR="001903CA" w:rsidRPr="00842152" w:rsidRDefault="001903CA" w:rsidP="001903CA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 xml:space="preserve">677000, г. Якутск, ул. Каландарашвили, д. 5, </w:t>
      </w:r>
    </w:p>
    <w:p w:rsidR="001903CA" w:rsidRPr="00842152" w:rsidRDefault="001903CA" w:rsidP="001903CA">
      <w:pPr>
        <w:pStyle w:val="unknownstyle1"/>
        <w:widowControl w:val="0"/>
        <w:spacing w:line="240" w:lineRule="auto"/>
        <w:rPr>
          <w:rFonts w:cs="Calibri"/>
          <w:b/>
          <w:bCs/>
          <w:color w:val="244061"/>
          <w:sz w:val="20"/>
          <w:szCs w:val="20"/>
        </w:rPr>
      </w:pPr>
      <w:r w:rsidRPr="00842152">
        <w:rPr>
          <w:rFonts w:cs="Calibri"/>
          <w:b/>
          <w:bCs/>
          <w:color w:val="244061"/>
          <w:sz w:val="20"/>
          <w:szCs w:val="20"/>
        </w:rPr>
        <w:t>Тел. 8-4112-44-58-98,</w:t>
      </w:r>
    </w:p>
    <w:p w:rsidR="00CF4724" w:rsidRPr="001D127F" w:rsidRDefault="001903CA" w:rsidP="001903CA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auto"/>
          <w:sz w:val="20"/>
          <w:szCs w:val="20"/>
          <w:lang w:val="en-US"/>
        </w:rPr>
      </w:pP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iakup</w:t>
      </w:r>
      <w:r w:rsidRPr="00842152">
        <w:rPr>
          <w:rFonts w:cs="Calibri"/>
          <w:b/>
          <w:bCs/>
          <w:color w:val="244061"/>
          <w:sz w:val="20"/>
          <w:szCs w:val="20"/>
        </w:rPr>
        <w:t>@14</w:t>
      </w: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.mailop</w:t>
      </w:r>
      <w:r w:rsidRPr="00842152">
        <w:rPr>
          <w:rFonts w:cs="Calibri"/>
          <w:b/>
          <w:bCs/>
          <w:color w:val="244061"/>
          <w:sz w:val="20"/>
          <w:szCs w:val="20"/>
        </w:rPr>
        <w:t>.</w:t>
      </w:r>
      <w:r w:rsidRPr="00842152">
        <w:rPr>
          <w:rFonts w:cs="Calibri"/>
          <w:b/>
          <w:bCs/>
          <w:color w:val="244061"/>
          <w:sz w:val="20"/>
          <w:szCs w:val="20"/>
          <w:lang w:val="en-US"/>
        </w:rPr>
        <w:t>ru</w:t>
      </w:r>
    </w:p>
    <w:p w:rsidR="00EF1A2F" w:rsidRPr="00F653F6" w:rsidRDefault="00EF1A2F" w:rsidP="00EF1A2F">
      <w:pPr>
        <w:pStyle w:val="unknownstyle1"/>
        <w:widowControl w:val="0"/>
        <w:spacing w:line="300" w:lineRule="auto"/>
        <w:ind w:left="112"/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</w:pPr>
    </w:p>
    <w:p w:rsidR="00C96B21" w:rsidRPr="00F653F6" w:rsidRDefault="00C96B21" w:rsidP="00EF1A2F">
      <w:pPr>
        <w:pStyle w:val="unknownstyle1"/>
        <w:widowControl w:val="0"/>
        <w:spacing w:line="300" w:lineRule="auto"/>
        <w:ind w:left="112"/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0"/>
        <w:gridCol w:w="4573"/>
      </w:tblGrid>
      <w:tr w:rsidR="00051041" w:rsidRPr="006077FA" w:rsidTr="0077413A">
        <w:trPr>
          <w:trHeight w:val="1140"/>
        </w:trPr>
        <w:tc>
          <w:tcPr>
            <w:tcW w:w="284" w:type="dxa"/>
          </w:tcPr>
          <w:p w:rsidR="00051041" w:rsidRPr="00EF1A2F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  <w:r w:rsidRPr="00EF1A2F">
              <w:rPr>
                <w:rFonts w:ascii="Arial Narrow" w:hAnsi="Arial Narrow"/>
                <w:b/>
                <w:sz w:val="25"/>
                <w:szCs w:val="25"/>
              </w:rPr>
              <w:t xml:space="preserve">        </w:t>
            </w:r>
            <w:r w:rsidR="00051041" w:rsidRPr="00EF1A2F">
              <w:rPr>
                <w:rFonts w:ascii="Arial Narrow" w:hAnsi="Arial Narrow"/>
                <w:b/>
                <w:sz w:val="25"/>
                <w:szCs w:val="25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ABA57AF" wp14:editId="29C28222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051041" w:rsidRPr="00070B3E" w:rsidRDefault="001903CA" w:rsidP="00070B3E">
            <w:pPr>
              <w:tabs>
                <w:tab w:val="left" w:pos="0"/>
              </w:tabs>
              <w:ind w:firstLine="33"/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842152">
              <w:rPr>
                <w:rFonts w:asciiTheme="minorHAnsi" w:hAnsiTheme="minorHAnsi" w:cstheme="minorHAnsi"/>
                <w:b/>
                <w:i/>
                <w:color w:val="943634" w:themeColor="accent2" w:themeShade="BF"/>
                <w:lang w:val="ru-RU"/>
              </w:rPr>
              <w:t>Якутская природоохранная прокуратура Республики Саха (Якутия)</w:t>
            </w:r>
            <w:r w:rsidR="00070B3E">
              <w:rPr>
                <w:rFonts w:asciiTheme="minorHAnsi" w:hAnsiTheme="minorHAnsi" w:cstheme="minorHAnsi"/>
                <w:b/>
                <w:i/>
                <w:color w:val="00B050"/>
                <w:lang w:val="ru-RU"/>
              </w:rPr>
              <w:t xml:space="preserve"> </w:t>
            </w: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Саха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367783" w:rsidRDefault="00E15C86" w:rsidP="00EF1A2F">
      <w:pPr>
        <w:ind w:left="426"/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357F4A6F" wp14:editId="6F57431D">
            <wp:extent cx="2926080" cy="2926080"/>
            <wp:effectExtent l="0" t="0" r="0" b="0"/>
            <wp:docPr id="1" name="Рисунок 1" descr="Картинки по запросу вместе мы сил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мы сила картин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051041" w:rsidRPr="00F3634F" w:rsidRDefault="00051041" w:rsidP="00497B85">
      <w:pPr>
        <w:rPr>
          <w:sz w:val="25"/>
          <w:szCs w:val="25"/>
        </w:rPr>
      </w:pP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1903CA" w:rsidRDefault="001903CA" w:rsidP="001903CA">
      <w:pPr>
        <w:ind w:left="-284"/>
        <w:jc w:val="center"/>
        <w:rPr>
          <w:b/>
          <w:color w:val="943634" w:themeColor="accent2" w:themeShade="BF"/>
          <w:lang w:val="ru-RU"/>
        </w:rPr>
      </w:pPr>
      <w:r>
        <w:rPr>
          <w:b/>
          <w:color w:val="943634" w:themeColor="accent2" w:themeShade="BF"/>
          <w:lang w:val="ru-RU"/>
        </w:rPr>
        <w:t>г. Якутск</w:t>
      </w:r>
    </w:p>
    <w:p w:rsidR="00477950" w:rsidRPr="00BA1010" w:rsidRDefault="001903CA" w:rsidP="009B5758">
      <w:pPr>
        <w:ind w:left="-284"/>
        <w:jc w:val="center"/>
        <w:rPr>
          <w:b/>
          <w:color w:val="00B050"/>
        </w:rPr>
      </w:pPr>
      <w:r w:rsidRPr="00716C2E">
        <w:rPr>
          <w:b/>
          <w:color w:val="943634" w:themeColor="accent2" w:themeShade="BF"/>
          <w:lang w:val="ru-RU"/>
        </w:rPr>
        <w:t>20</w:t>
      </w:r>
      <w:r>
        <w:rPr>
          <w:b/>
          <w:color w:val="943634" w:themeColor="accent2" w:themeShade="BF"/>
          <w:lang w:val="ru-RU"/>
        </w:rPr>
        <w:t>2</w:t>
      </w:r>
      <w:r w:rsidR="006077FA">
        <w:rPr>
          <w:b/>
          <w:color w:val="943634" w:themeColor="accent2" w:themeShade="BF"/>
          <w:lang w:val="ru-RU"/>
        </w:rPr>
        <w:t>4</w:t>
      </w:r>
      <w:bookmarkStart w:id="0" w:name="_GoBack"/>
      <w:bookmarkEnd w:id="0"/>
      <w:r w:rsidRPr="00716C2E">
        <w:rPr>
          <w:b/>
          <w:color w:val="943634" w:themeColor="accent2" w:themeShade="BF"/>
          <w:lang w:val="ru-RU"/>
        </w:rPr>
        <w:t xml:space="preserve"> год</w:t>
      </w:r>
    </w:p>
    <w:sectPr w:rsidR="00477950" w:rsidRPr="00BA1010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3E" w:rsidRDefault="00070B3E">
      <w:r>
        <w:separator/>
      </w:r>
    </w:p>
  </w:endnote>
  <w:endnote w:type="continuationSeparator" w:id="0">
    <w:p w:rsidR="00070B3E" w:rsidRDefault="0007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3E" w:rsidRDefault="00070B3E">
      <w:r>
        <w:separator/>
      </w:r>
    </w:p>
  </w:footnote>
  <w:footnote w:type="continuationSeparator" w:id="0">
    <w:p w:rsidR="00070B3E" w:rsidRDefault="00070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48.75pt" o:bullet="t">
        <v:imagedata r:id="rId1" o:title="advocat"/>
      </v:shape>
    </w:pict>
  </w:numPicBullet>
  <w:numPicBullet w:numPicBulletId="1">
    <w:pict>
      <v:shape id="_x0000_i1027" type="#_x0000_t75" style="width:9.75pt;height:9.75pt" o:bullet="t">
        <v:imagedata r:id="rId2" o:title="BD21298_"/>
      </v:shape>
    </w:pict>
  </w:numPicBullet>
  <w:numPicBullet w:numPicBulletId="2">
    <w:pict>
      <v:shape id="_x0000_i1028" type="#_x0000_t75" style="width:11.25pt;height:11.25pt" o:bullet="t">
        <v:imagedata r:id="rId3" o:title="BD14565_"/>
      </v:shape>
    </w:pict>
  </w:numPicBullet>
  <w:abstractNum w:abstractNumId="0" w15:restartNumberingAfterBreak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8"/>
    <w:rsid w:val="00000003"/>
    <w:rsid w:val="00006142"/>
    <w:rsid w:val="00006D87"/>
    <w:rsid w:val="00011EDB"/>
    <w:rsid w:val="00023BC1"/>
    <w:rsid w:val="000244A0"/>
    <w:rsid w:val="00051041"/>
    <w:rsid w:val="0005144B"/>
    <w:rsid w:val="00053AD1"/>
    <w:rsid w:val="00056312"/>
    <w:rsid w:val="00062599"/>
    <w:rsid w:val="00062817"/>
    <w:rsid w:val="000635D2"/>
    <w:rsid w:val="00066A73"/>
    <w:rsid w:val="00070B3E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4356"/>
    <w:rsid w:val="001903CA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D8"/>
    <w:rsid w:val="00241B56"/>
    <w:rsid w:val="00244FE3"/>
    <w:rsid w:val="00250934"/>
    <w:rsid w:val="00257505"/>
    <w:rsid w:val="002630F6"/>
    <w:rsid w:val="00276C68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42009"/>
    <w:rsid w:val="00344F5B"/>
    <w:rsid w:val="00351C8F"/>
    <w:rsid w:val="003540F4"/>
    <w:rsid w:val="00361081"/>
    <w:rsid w:val="00366D4D"/>
    <w:rsid w:val="00366FB0"/>
    <w:rsid w:val="00367783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69B6"/>
    <w:rsid w:val="00527D4D"/>
    <w:rsid w:val="005300B6"/>
    <w:rsid w:val="005303E0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3C36"/>
    <w:rsid w:val="005C67D3"/>
    <w:rsid w:val="005D2152"/>
    <w:rsid w:val="005D3A1D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077FA"/>
    <w:rsid w:val="00612658"/>
    <w:rsid w:val="0061478A"/>
    <w:rsid w:val="00614A3D"/>
    <w:rsid w:val="00614B76"/>
    <w:rsid w:val="0062385C"/>
    <w:rsid w:val="00623C59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92AE2"/>
    <w:rsid w:val="00694C09"/>
    <w:rsid w:val="006A64D6"/>
    <w:rsid w:val="006B0E04"/>
    <w:rsid w:val="006B529C"/>
    <w:rsid w:val="006B758E"/>
    <w:rsid w:val="006C2546"/>
    <w:rsid w:val="006D3B75"/>
    <w:rsid w:val="006D5EEE"/>
    <w:rsid w:val="006D75FC"/>
    <w:rsid w:val="006E0F57"/>
    <w:rsid w:val="006E3EA2"/>
    <w:rsid w:val="006E4068"/>
    <w:rsid w:val="006E5500"/>
    <w:rsid w:val="006E5D23"/>
    <w:rsid w:val="006F4A98"/>
    <w:rsid w:val="00701C00"/>
    <w:rsid w:val="0070481D"/>
    <w:rsid w:val="007112B8"/>
    <w:rsid w:val="007115CA"/>
    <w:rsid w:val="00712DFB"/>
    <w:rsid w:val="007136FC"/>
    <w:rsid w:val="00714347"/>
    <w:rsid w:val="007207BE"/>
    <w:rsid w:val="00733A52"/>
    <w:rsid w:val="00741B29"/>
    <w:rsid w:val="00750E5C"/>
    <w:rsid w:val="00765F08"/>
    <w:rsid w:val="00773697"/>
    <w:rsid w:val="007740A9"/>
    <w:rsid w:val="0077413A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5EE3"/>
    <w:rsid w:val="0089018A"/>
    <w:rsid w:val="008924AB"/>
    <w:rsid w:val="00893EF4"/>
    <w:rsid w:val="0089695F"/>
    <w:rsid w:val="008A1FF3"/>
    <w:rsid w:val="008A21E9"/>
    <w:rsid w:val="008B43AF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011A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AF57B9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BCB"/>
    <w:rsid w:val="00B64903"/>
    <w:rsid w:val="00B66573"/>
    <w:rsid w:val="00B77558"/>
    <w:rsid w:val="00BA1010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10A30"/>
    <w:rsid w:val="00C128B1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990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DD9"/>
    <w:rsid w:val="00CC7672"/>
    <w:rsid w:val="00CD20C6"/>
    <w:rsid w:val="00CE063B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943F3"/>
    <w:rsid w:val="00D966BC"/>
    <w:rsid w:val="00DA244F"/>
    <w:rsid w:val="00DA574E"/>
    <w:rsid w:val="00DA5AD4"/>
    <w:rsid w:val="00DA7677"/>
    <w:rsid w:val="00DB1790"/>
    <w:rsid w:val="00DB7224"/>
    <w:rsid w:val="00DC2037"/>
    <w:rsid w:val="00DC257C"/>
    <w:rsid w:val="00DC53E3"/>
    <w:rsid w:val="00DE05B0"/>
    <w:rsid w:val="00DE3A40"/>
    <w:rsid w:val="00DF021D"/>
    <w:rsid w:val="00DF1DF5"/>
    <w:rsid w:val="00E03B55"/>
    <w:rsid w:val="00E03FC0"/>
    <w:rsid w:val="00E10051"/>
    <w:rsid w:val="00E14A24"/>
    <w:rsid w:val="00E15C86"/>
    <w:rsid w:val="00E31A3D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87EAC"/>
    <w:rsid w:val="00F97475"/>
    <w:rsid w:val="00FA2849"/>
    <w:rsid w:val="00FA2F3D"/>
    <w:rsid w:val="00FA3459"/>
    <w:rsid w:val="00FA74B5"/>
    <w:rsid w:val="00FB39F9"/>
    <w:rsid w:val="00FB5C27"/>
    <w:rsid w:val="00FB5E73"/>
    <w:rsid w:val="00FB7EE7"/>
    <w:rsid w:val="00FC04B6"/>
    <w:rsid w:val="00FD0888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  <w14:docId w14:val="2A07E7F2"/>
  <w15:docId w15:val="{6964DA67-A23B-4300-9BDF-1300C3B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Заголовок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consultantplus://offline/ref=AA58F1A27228A2ED6BBA6B1A5BF320C548F70BCB53714A5BB0EAB04F29CDE17D07DFBFBD63EB37F0pFS6H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AA58F1A27228A2ED6BBA6B1A5BF320C548F70BCB53714A5BB0EAB04F29CDE17D07DFBFBD63EB37F1pFS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A58F1A27228A2ED6BBA6B1A5BF320C548F70BCB53714A5BB0EAB04F29CDE17D07DFBFBD63EB37F8pFSCH" TargetMode="External"/><Relationship Id="rId10" Type="http://schemas.openxmlformats.org/officeDocument/2006/relationships/hyperlink" Target="consultantplus://offline/ref=FAB92B1F92B62F1F55BEFD1517321A86CF2AEFDD74BC2A9D0835D752EDE2B0AF15016CEDC844D4E6u3EA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92B1F92B62F1F55BEFD1517321A86CF2AEFDD76B32A9D0835D752EDE2B0AF15016CEDC844D6E7u3E5H" TargetMode="External"/><Relationship Id="rId14" Type="http://schemas.openxmlformats.org/officeDocument/2006/relationships/hyperlink" Target="consultantplus://offline/ref=AA58F1A27228A2ED6BBA6B1A5BF320C548F70BCB53714A5BB0EAB04F29CDE17D07DFBFBD63EB36F0pFSAH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7601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8472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Слепцов Прокопий Николаевич</cp:lastModifiedBy>
  <cp:revision>2</cp:revision>
  <cp:lastPrinted>2023-06-26T02:28:00Z</cp:lastPrinted>
  <dcterms:created xsi:type="dcterms:W3CDTF">2024-04-26T06:15:00Z</dcterms:created>
  <dcterms:modified xsi:type="dcterms:W3CDTF">2024-04-26T06:15:00Z</dcterms:modified>
</cp:coreProperties>
</file>