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12" w:rsidRPr="00E02AE1" w:rsidRDefault="00040F12" w:rsidP="00040F12">
      <w:pPr>
        <w:ind w:firstLine="567"/>
        <w:jc w:val="right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>Приложение № 3</w:t>
      </w:r>
    </w:p>
    <w:p w:rsidR="00040F12" w:rsidRPr="00E02AE1" w:rsidRDefault="00040F12" w:rsidP="00040F12">
      <w:pPr>
        <w:rPr>
          <w:sz w:val="24"/>
          <w:szCs w:val="24"/>
        </w:rPr>
      </w:pPr>
    </w:p>
    <w:p w:rsidR="00040F12" w:rsidRPr="00E02AE1" w:rsidRDefault="00040F12" w:rsidP="00040F12">
      <w:pPr>
        <w:jc w:val="center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 xml:space="preserve">ПРОЕКТ КОНТРАКТА </w:t>
      </w:r>
    </w:p>
    <w:p w:rsidR="00040F12" w:rsidRPr="00E02AE1" w:rsidRDefault="00040F12" w:rsidP="00040F12">
      <w:pPr>
        <w:jc w:val="center"/>
        <w:rPr>
          <w:b/>
          <w:sz w:val="24"/>
          <w:szCs w:val="24"/>
        </w:rPr>
      </w:pPr>
    </w:p>
    <w:p w:rsidR="00040F12" w:rsidRPr="00E02AE1" w:rsidRDefault="00040F12" w:rsidP="00040F12">
      <w:pPr>
        <w:jc w:val="center"/>
        <w:rPr>
          <w:b/>
          <w:sz w:val="24"/>
          <w:szCs w:val="24"/>
        </w:rPr>
      </w:pPr>
      <w:r w:rsidRPr="00E02AE1">
        <w:rPr>
          <w:b/>
          <w:bCs/>
          <w:color w:val="000000"/>
          <w:sz w:val="24"/>
          <w:szCs w:val="24"/>
        </w:rPr>
        <w:t xml:space="preserve">Контракт на поставку бензина </w:t>
      </w:r>
    </w:p>
    <w:p w:rsidR="00040F12" w:rsidRPr="00E02AE1" w:rsidRDefault="00040F12" w:rsidP="00040F12">
      <w:pPr>
        <w:jc w:val="center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>Регистрационный № _________</w:t>
      </w:r>
    </w:p>
    <w:p w:rsidR="00040F12" w:rsidRPr="00E02AE1" w:rsidRDefault="00040F12" w:rsidP="00040F12">
      <w:pPr>
        <w:jc w:val="center"/>
        <w:rPr>
          <w:b/>
          <w:sz w:val="24"/>
          <w:szCs w:val="24"/>
        </w:rPr>
      </w:pPr>
    </w:p>
    <w:p w:rsidR="00040F12" w:rsidRPr="00E02AE1" w:rsidRDefault="00040F12" w:rsidP="00040F12">
      <w:pPr>
        <w:rPr>
          <w:sz w:val="24"/>
          <w:szCs w:val="24"/>
        </w:rPr>
      </w:pPr>
      <w:r w:rsidRPr="00E02AE1">
        <w:rPr>
          <w:snapToGrid w:val="0"/>
          <w:sz w:val="24"/>
          <w:szCs w:val="24"/>
        </w:rPr>
        <w:t>г. Архангельск</w:t>
      </w:r>
      <w:r w:rsidRPr="00E02AE1">
        <w:rPr>
          <w:sz w:val="24"/>
          <w:szCs w:val="24"/>
        </w:rPr>
        <w:tab/>
      </w:r>
      <w:r w:rsidRPr="00E02AE1">
        <w:rPr>
          <w:sz w:val="24"/>
          <w:szCs w:val="24"/>
        </w:rPr>
        <w:tab/>
      </w:r>
      <w:r w:rsidRPr="00E02AE1">
        <w:rPr>
          <w:sz w:val="24"/>
          <w:szCs w:val="24"/>
        </w:rPr>
        <w:tab/>
      </w:r>
      <w:r w:rsidRPr="00E02AE1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 </w:t>
      </w:r>
      <w:r w:rsidR="00AE0FEC">
        <w:rPr>
          <w:sz w:val="24"/>
          <w:szCs w:val="24"/>
        </w:rPr>
        <w:t xml:space="preserve">     </w:t>
      </w:r>
      <w:r w:rsidRPr="00E02AE1">
        <w:rPr>
          <w:sz w:val="24"/>
          <w:szCs w:val="24"/>
        </w:rPr>
        <w:t>«___» _________ 2015 года</w:t>
      </w:r>
    </w:p>
    <w:p w:rsidR="00040F12" w:rsidRPr="00E02AE1" w:rsidRDefault="00040F12" w:rsidP="00040F12">
      <w:pPr>
        <w:jc w:val="both"/>
        <w:rPr>
          <w:sz w:val="24"/>
          <w:szCs w:val="24"/>
        </w:rPr>
      </w:pPr>
    </w:p>
    <w:p w:rsidR="00040F12" w:rsidRPr="00E02AE1" w:rsidRDefault="00040F12" w:rsidP="00040F12">
      <w:pPr>
        <w:ind w:firstLine="708"/>
        <w:jc w:val="both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>Прокуратура Архангельской области</w:t>
      </w:r>
      <w:r w:rsidRPr="00E02AE1">
        <w:rPr>
          <w:sz w:val="24"/>
          <w:szCs w:val="24"/>
        </w:rPr>
        <w:t xml:space="preserve">, именуемое в дальнейшем «Заказчик», лице </w:t>
      </w:r>
      <w:r w:rsidR="008D52C0">
        <w:rPr>
          <w:sz w:val="24"/>
          <w:szCs w:val="24"/>
        </w:rPr>
        <w:t>____________________________________</w:t>
      </w:r>
      <w:r w:rsidRPr="00E02AE1">
        <w:rPr>
          <w:sz w:val="24"/>
          <w:szCs w:val="24"/>
        </w:rPr>
        <w:t xml:space="preserve">, действующего на основании </w:t>
      </w:r>
      <w:r w:rsidR="008D52C0">
        <w:rPr>
          <w:sz w:val="24"/>
          <w:szCs w:val="24"/>
        </w:rPr>
        <w:t>________________________,</w:t>
      </w:r>
      <w:r w:rsidRPr="00E02AE1">
        <w:rPr>
          <w:sz w:val="24"/>
          <w:szCs w:val="24"/>
        </w:rPr>
        <w:t xml:space="preserve"> с одной стороны, и _______________</w:t>
      </w:r>
      <w:r w:rsidR="008D52C0">
        <w:rPr>
          <w:sz w:val="24"/>
          <w:szCs w:val="24"/>
        </w:rPr>
        <w:t xml:space="preserve">____________________, именуемое </w:t>
      </w:r>
      <w:r w:rsidRPr="00E02AE1">
        <w:rPr>
          <w:sz w:val="24"/>
          <w:szCs w:val="24"/>
        </w:rPr>
        <w:t>в дальнейшем «Поставщик», в лице _____________________________, действующей (его) на основании _______________, с другой стороны, именуемые совместно в дальнейшем «Стороны», на основании протокола ______________________________ от «___» _____________ 201</w:t>
      </w:r>
      <w:r>
        <w:rPr>
          <w:sz w:val="24"/>
          <w:szCs w:val="24"/>
        </w:rPr>
        <w:t>5</w:t>
      </w:r>
      <w:r w:rsidRPr="00E02AE1">
        <w:rPr>
          <w:sz w:val="24"/>
          <w:szCs w:val="24"/>
        </w:rPr>
        <w:t xml:space="preserve"> г. № _______ заключили настоящий Контракт о нижеследующем.</w:t>
      </w:r>
    </w:p>
    <w:p w:rsidR="00040F12" w:rsidRPr="00E02AE1" w:rsidRDefault="00040F12" w:rsidP="00040F12">
      <w:pPr>
        <w:jc w:val="both"/>
        <w:rPr>
          <w:sz w:val="24"/>
          <w:szCs w:val="24"/>
        </w:rPr>
      </w:pPr>
    </w:p>
    <w:p w:rsidR="00040F12" w:rsidRPr="00E02AE1" w:rsidRDefault="00040F12" w:rsidP="00040F12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>Предмет Контракта, срок, место и условия поставки</w:t>
      </w:r>
    </w:p>
    <w:p w:rsidR="00040F12" w:rsidRPr="00E02AE1" w:rsidRDefault="00040F12" w:rsidP="00040F12">
      <w:pPr>
        <w:ind w:firstLine="709"/>
        <w:jc w:val="both"/>
        <w:rPr>
          <w:bCs/>
          <w:color w:val="000000"/>
          <w:sz w:val="24"/>
          <w:szCs w:val="24"/>
        </w:rPr>
      </w:pPr>
      <w:r w:rsidRPr="00E02AE1">
        <w:rPr>
          <w:snapToGrid w:val="0"/>
          <w:sz w:val="24"/>
          <w:szCs w:val="24"/>
        </w:rPr>
        <w:t>1.1. Поставщик</w:t>
      </w:r>
      <w:r w:rsidRPr="00E02AE1">
        <w:rPr>
          <w:color w:val="000000"/>
          <w:sz w:val="24"/>
          <w:szCs w:val="24"/>
        </w:rPr>
        <w:t xml:space="preserve"> </w:t>
      </w:r>
      <w:r w:rsidRPr="00E02AE1">
        <w:rPr>
          <w:snapToGrid w:val="0"/>
          <w:sz w:val="24"/>
          <w:szCs w:val="24"/>
        </w:rPr>
        <w:t xml:space="preserve">принимает на себя обязательства по поставке </w:t>
      </w:r>
      <w:r w:rsidRPr="00E02AE1">
        <w:rPr>
          <w:b/>
          <w:sz w:val="24"/>
          <w:szCs w:val="24"/>
        </w:rPr>
        <w:t xml:space="preserve">бензина </w:t>
      </w:r>
      <w:r w:rsidRPr="00E02AE1">
        <w:rPr>
          <w:snapToGrid w:val="0"/>
          <w:sz w:val="24"/>
          <w:szCs w:val="24"/>
        </w:rPr>
        <w:t>(далее – Товар) в соответствии с Приложением № 1 «Спецификация» к настоящему Контракту (далее – Приложение № 1 к Контракту), а Заказчик обязуется принять и оплатить поставленный Товар.</w:t>
      </w:r>
    </w:p>
    <w:p w:rsidR="00040F12" w:rsidRPr="00E02AE1" w:rsidRDefault="00040F12" w:rsidP="00040F12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2AE1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1.2. Поставка Товара, указанного в пункте 1.1 настоящего Контракта, </w:t>
      </w:r>
      <w:r w:rsidRPr="00E02A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должна производиться с </w:t>
      </w:r>
      <w:r w:rsidRPr="00E02AE1">
        <w:rPr>
          <w:rFonts w:ascii="Times New Roman" w:hAnsi="Times New Roman" w:cs="Times New Roman"/>
          <w:sz w:val="24"/>
          <w:szCs w:val="24"/>
        </w:rPr>
        <w:t>автозаправочных станций (</w:t>
      </w:r>
      <w:r w:rsidRPr="00E02A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АЗС) </w:t>
      </w:r>
      <w:r w:rsidR="00B70FCC">
        <w:rPr>
          <w:rFonts w:ascii="Times New Roman" w:hAnsi="Times New Roman" w:cs="Times New Roman"/>
          <w:sz w:val="24"/>
          <w:szCs w:val="24"/>
        </w:rPr>
        <w:t>поставщика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г. Мезень, Мезенского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Архангельской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E02AE1">
        <w:rPr>
          <w:rFonts w:ascii="Times New Roman" w:hAnsi="Times New Roman" w:cs="Times New Roman"/>
          <w:sz w:val="24"/>
          <w:szCs w:val="24"/>
        </w:rPr>
        <w:t>.</w:t>
      </w:r>
    </w:p>
    <w:p w:rsidR="00040F12" w:rsidRDefault="00040F12" w:rsidP="00040F1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2AE1">
        <w:rPr>
          <w:rFonts w:ascii="Times New Roman" w:hAnsi="Times New Roman" w:cs="Times New Roman"/>
          <w:sz w:val="24"/>
          <w:szCs w:val="24"/>
        </w:rPr>
        <w:t xml:space="preserve">1.3. Сроки поставки товаров </w:t>
      </w:r>
      <w:r w:rsidR="00D67D9C">
        <w:rPr>
          <w:rFonts w:ascii="Times New Roman" w:hAnsi="Times New Roman" w:cs="Times New Roman"/>
          <w:sz w:val="24"/>
          <w:szCs w:val="24"/>
        </w:rPr>
        <w:t>–</w:t>
      </w:r>
      <w:r w:rsidR="00EB0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2AE1">
        <w:rPr>
          <w:rFonts w:ascii="Times New Roman" w:hAnsi="Times New Roman" w:cs="Times New Roman"/>
          <w:iCs/>
          <w:sz w:val="24"/>
          <w:szCs w:val="24"/>
        </w:rPr>
        <w:t xml:space="preserve">с  </w:t>
      </w:r>
      <w:r>
        <w:rPr>
          <w:rFonts w:ascii="Times New Roman" w:hAnsi="Times New Roman" w:cs="Times New Roman"/>
          <w:iCs/>
          <w:sz w:val="24"/>
          <w:szCs w:val="24"/>
        </w:rPr>
        <w:t>даты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заключения Контракта</w:t>
      </w:r>
      <w:r w:rsidR="00EB003B">
        <w:rPr>
          <w:rFonts w:ascii="Times New Roman" w:hAnsi="Times New Roman" w:cs="Times New Roman"/>
          <w:iCs/>
          <w:sz w:val="24"/>
          <w:szCs w:val="24"/>
        </w:rPr>
        <w:t xml:space="preserve"> по 31 декабря 2015г.</w:t>
      </w:r>
    </w:p>
    <w:p w:rsidR="008D52C0" w:rsidRPr="00E02AE1" w:rsidRDefault="008D52C0" w:rsidP="00040F1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F12" w:rsidRPr="00E02AE1" w:rsidRDefault="00040F12" w:rsidP="00040F12">
      <w:pPr>
        <w:pStyle w:val="ConsPlusNormal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AE1">
        <w:rPr>
          <w:rFonts w:ascii="Times New Roman" w:hAnsi="Times New Roman" w:cs="Times New Roman"/>
          <w:b/>
          <w:sz w:val="24"/>
          <w:szCs w:val="24"/>
        </w:rPr>
        <w:t>2. Качество Товара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 xml:space="preserve">2.1. Качество товара должно соответствовать требованиям законодательства Российской Федерации, в том числе требованиям технического регламента Таможенного союза «О требованиях к автомобильному и авиационному бензину, дизельному </w:t>
      </w:r>
      <w:r w:rsidR="00AE0FEC">
        <w:rPr>
          <w:sz w:val="24"/>
          <w:szCs w:val="24"/>
        </w:rPr>
        <w:t xml:space="preserve">                  </w:t>
      </w:r>
      <w:r w:rsidRPr="00E02AE1">
        <w:rPr>
          <w:sz w:val="24"/>
          <w:szCs w:val="24"/>
        </w:rPr>
        <w:t>и судовому топливу, топливу для реактивных двигателей и мазуту» от 18 октября 2011 г. N 826</w:t>
      </w:r>
      <w:r>
        <w:rPr>
          <w:sz w:val="24"/>
          <w:szCs w:val="24"/>
        </w:rPr>
        <w:t xml:space="preserve">, </w:t>
      </w:r>
      <w:r w:rsidRPr="0025174E">
        <w:rPr>
          <w:sz w:val="24"/>
          <w:szCs w:val="24"/>
        </w:rPr>
        <w:t>ГОСТ Р 51105-97.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2.2. На поставляемый Товар поставщик обязан предъявлять паспорт завода-изготовителя на нефтепродукты с указанием в нём срока действия сертификата (декларации о соответствии) и гарантийного срока хранения товара.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2.3. Поставщик гарантирует качество и безопасность поставляемого Товара.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В случае существенного нарушения поставщиком требований к качеству товара, поставщик производит замену некачественного товара товаром надлежащего качества. Убытки, возникшие в связи с заменой товара, несет поставщик.</w:t>
      </w:r>
    </w:p>
    <w:p w:rsidR="00040F12" w:rsidRPr="00E02AE1" w:rsidRDefault="00040F12" w:rsidP="00040F12">
      <w:pPr>
        <w:ind w:firstLine="709"/>
        <w:jc w:val="both"/>
        <w:rPr>
          <w:b/>
          <w:bCs/>
          <w:snapToGrid w:val="0"/>
          <w:sz w:val="24"/>
          <w:szCs w:val="24"/>
        </w:rPr>
      </w:pPr>
    </w:p>
    <w:p w:rsidR="00040F12" w:rsidRPr="00E02AE1" w:rsidRDefault="00040F12" w:rsidP="00040F12">
      <w:pPr>
        <w:numPr>
          <w:ilvl w:val="0"/>
          <w:numId w:val="2"/>
        </w:numPr>
        <w:jc w:val="center"/>
        <w:rPr>
          <w:b/>
          <w:bCs/>
          <w:snapToGrid w:val="0"/>
          <w:sz w:val="24"/>
          <w:szCs w:val="24"/>
        </w:rPr>
      </w:pPr>
      <w:r w:rsidRPr="00E02AE1">
        <w:rPr>
          <w:b/>
          <w:bCs/>
          <w:snapToGrid w:val="0"/>
          <w:sz w:val="24"/>
          <w:szCs w:val="24"/>
        </w:rPr>
        <w:t>Цена Контракта</w:t>
      </w:r>
    </w:p>
    <w:p w:rsidR="00040F12" w:rsidRPr="00E02AE1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 xml:space="preserve">3.1. </w:t>
      </w:r>
      <w:r w:rsidRPr="00E02AE1">
        <w:rPr>
          <w:sz w:val="24"/>
          <w:szCs w:val="24"/>
        </w:rPr>
        <w:t>Оплата стоимости поставленного по настоящему Контракту Товара производится в рублях.</w:t>
      </w:r>
    </w:p>
    <w:p w:rsidR="00040F12" w:rsidRPr="00E02AE1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>3.2. Цена Товара, указанного в пункте 1.1 настоящего Контракта, определена протоколом ______________________ от «___» __________ 20__ г. № _______.</w:t>
      </w:r>
    </w:p>
    <w:p w:rsidR="00040F12" w:rsidRPr="00E02AE1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>3.3. Цена настоящего Контракта, составляет ____ (___сумма прописью___) рублей, в т.ч. НДС ____ (___сумма прописью___) рублей в соответствии с ценой, определенной вышеуказанным протоколом.</w:t>
      </w:r>
    </w:p>
    <w:p w:rsidR="00040F12" w:rsidRPr="00E02AE1" w:rsidRDefault="00040F12" w:rsidP="00040F12">
      <w:pPr>
        <w:pStyle w:val="a3"/>
        <w:ind w:firstLine="709"/>
        <w:jc w:val="both"/>
        <w:rPr>
          <w:sz w:val="24"/>
          <w:szCs w:val="24"/>
        </w:rPr>
      </w:pPr>
      <w:r w:rsidRPr="00E02AE1">
        <w:rPr>
          <w:snapToGrid w:val="0"/>
          <w:sz w:val="24"/>
          <w:szCs w:val="24"/>
        </w:rPr>
        <w:lastRenderedPageBreak/>
        <w:t xml:space="preserve">3.4. </w:t>
      </w:r>
      <w:r w:rsidRPr="00E02AE1">
        <w:rPr>
          <w:sz w:val="24"/>
          <w:szCs w:val="24"/>
        </w:rPr>
        <w:t>Цена контракта включает в себя стоимость товара, расходы на его перевозку, страхование, уплату таможенных пошлин и сборов, налогов и других обязательных платежей, а так же расходы на доставку топлива до автозаправочных станций поставщика</w:t>
      </w:r>
      <w:r w:rsidR="009531C1">
        <w:rPr>
          <w:sz w:val="24"/>
          <w:szCs w:val="24"/>
        </w:rPr>
        <w:t>.</w:t>
      </w:r>
      <w:r w:rsidRPr="00E02AE1">
        <w:rPr>
          <w:sz w:val="24"/>
          <w:szCs w:val="24"/>
        </w:rPr>
        <w:t xml:space="preserve"> </w:t>
      </w:r>
    </w:p>
    <w:p w:rsidR="00040F12" w:rsidRPr="00E02AE1" w:rsidRDefault="00040F12" w:rsidP="00040F12">
      <w:pPr>
        <w:pStyle w:val="a3"/>
        <w:ind w:firstLine="709"/>
        <w:jc w:val="both"/>
        <w:rPr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>3.5.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040F12" w:rsidRPr="00E02AE1" w:rsidRDefault="00040F12" w:rsidP="00040F12">
      <w:pPr>
        <w:tabs>
          <w:tab w:val="num" w:pos="-142"/>
          <w:tab w:val="left" w:pos="0"/>
          <w:tab w:val="num" w:pos="142"/>
          <w:tab w:val="left" w:pos="709"/>
        </w:tabs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3.6. Цена Контракта может быть снижена по соглашению Сторон без изменения предусмотренных Контрактом количества Товара, качества поставляемого товара  и иных условий исполнения Контракта.</w:t>
      </w:r>
    </w:p>
    <w:p w:rsidR="00040F12" w:rsidRPr="00E02AE1" w:rsidRDefault="00040F12" w:rsidP="00040F12">
      <w:pPr>
        <w:ind w:firstLine="709"/>
        <w:jc w:val="both"/>
        <w:rPr>
          <w:b/>
          <w:bCs/>
          <w:snapToGrid w:val="0"/>
          <w:sz w:val="24"/>
          <w:szCs w:val="24"/>
        </w:rPr>
      </w:pPr>
    </w:p>
    <w:p w:rsidR="00040F12" w:rsidRPr="00E02AE1" w:rsidRDefault="00040F12" w:rsidP="00040F12">
      <w:pPr>
        <w:numPr>
          <w:ilvl w:val="0"/>
          <w:numId w:val="2"/>
        </w:numPr>
        <w:jc w:val="center"/>
        <w:rPr>
          <w:b/>
          <w:bCs/>
          <w:snapToGrid w:val="0"/>
          <w:sz w:val="24"/>
          <w:szCs w:val="24"/>
        </w:rPr>
      </w:pPr>
      <w:r w:rsidRPr="00E02AE1">
        <w:rPr>
          <w:b/>
          <w:bCs/>
          <w:snapToGrid w:val="0"/>
          <w:sz w:val="24"/>
          <w:szCs w:val="24"/>
        </w:rPr>
        <w:t>Порядок и сроки оплаты Товара</w:t>
      </w:r>
    </w:p>
    <w:p w:rsidR="00040F12" w:rsidRPr="00E02AE1" w:rsidRDefault="00040F12" w:rsidP="00040F12">
      <w:pPr>
        <w:pStyle w:val="ConsNormal0"/>
        <w:widowControl/>
        <w:tabs>
          <w:tab w:val="left" w:pos="0"/>
        </w:tabs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>4.1. Оплата осуществляется по безналичному расчету, путем перечисления заказчиком денежных средств на расчетн</w:t>
      </w:r>
      <w:r>
        <w:rPr>
          <w:rFonts w:ascii="Times New Roman" w:hAnsi="Times New Roman"/>
          <w:sz w:val="24"/>
          <w:szCs w:val="24"/>
        </w:rPr>
        <w:t>ый счет поставщика, в течение 15</w:t>
      </w:r>
      <w:r w:rsidRPr="00E02AE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Пятнадцати</w:t>
      </w:r>
      <w:r w:rsidRPr="00E02AE1">
        <w:rPr>
          <w:rFonts w:ascii="Times New Roman" w:hAnsi="Times New Roman"/>
          <w:sz w:val="24"/>
          <w:szCs w:val="24"/>
        </w:rPr>
        <w:t>) банковских дней согласно счету-фактуре и заправочным  ведомостям после подписания сторонами товарно-транспортной (товарной) накладной.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02AE1">
        <w:rPr>
          <w:rFonts w:ascii="Times New Roman" w:hAnsi="Times New Roman"/>
          <w:snapToGrid w:val="0"/>
          <w:sz w:val="24"/>
          <w:szCs w:val="24"/>
        </w:rPr>
        <w:t>4.2. Счет Поставщика с приложенными к нему счётом-фактурой, товарно-транспортной (товарной) накладной, подписанной Сторонами, оплачиваются Заказчиком в установленные настоящим разделом порядке и сроки.</w:t>
      </w:r>
    </w:p>
    <w:p w:rsidR="00040F12" w:rsidRPr="00E02AE1" w:rsidRDefault="00040F12" w:rsidP="00040F12">
      <w:pPr>
        <w:ind w:firstLine="709"/>
        <w:jc w:val="both"/>
        <w:rPr>
          <w:snapToGrid w:val="0"/>
          <w:sz w:val="24"/>
          <w:szCs w:val="24"/>
        </w:rPr>
      </w:pPr>
    </w:p>
    <w:p w:rsidR="00040F12" w:rsidRPr="00E02AE1" w:rsidRDefault="00040F12" w:rsidP="00040F12">
      <w:pPr>
        <w:numPr>
          <w:ilvl w:val="0"/>
          <w:numId w:val="2"/>
        </w:numPr>
        <w:jc w:val="center"/>
        <w:rPr>
          <w:b/>
          <w:bCs/>
          <w:snapToGrid w:val="0"/>
          <w:sz w:val="24"/>
          <w:szCs w:val="24"/>
        </w:rPr>
      </w:pPr>
      <w:r w:rsidRPr="00E02AE1">
        <w:rPr>
          <w:b/>
          <w:bCs/>
          <w:snapToGrid w:val="0"/>
          <w:sz w:val="24"/>
          <w:szCs w:val="24"/>
        </w:rPr>
        <w:t>Права и обязанности Сторон</w:t>
      </w:r>
    </w:p>
    <w:p w:rsidR="00040F12" w:rsidRPr="00E02AE1" w:rsidRDefault="00040F12" w:rsidP="00040F12">
      <w:pPr>
        <w:widowControl w:val="0"/>
        <w:ind w:firstLine="709"/>
        <w:jc w:val="both"/>
        <w:rPr>
          <w:snapToGrid w:val="0"/>
          <w:color w:val="000000"/>
          <w:sz w:val="24"/>
          <w:szCs w:val="24"/>
        </w:rPr>
      </w:pPr>
      <w:r w:rsidRPr="00E02AE1">
        <w:rPr>
          <w:snapToGrid w:val="0"/>
          <w:color w:val="000000"/>
          <w:sz w:val="24"/>
          <w:szCs w:val="24"/>
        </w:rPr>
        <w:t xml:space="preserve">5.1. </w:t>
      </w:r>
      <w:r w:rsidRPr="00E02AE1">
        <w:rPr>
          <w:b/>
          <w:i/>
          <w:snapToGrid w:val="0"/>
          <w:color w:val="000000"/>
          <w:sz w:val="24"/>
          <w:szCs w:val="24"/>
        </w:rPr>
        <w:t>Поставщик имеет право: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требовать подписания Заказчиком товарно-транспортной (товарной)  накладной Товара по настоящему Контракту;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 xml:space="preserve">- требовать своевременной оплаты за поставленный Товар в соответствии </w:t>
      </w:r>
      <w:r w:rsidR="00AE0FEC">
        <w:rPr>
          <w:sz w:val="24"/>
          <w:szCs w:val="24"/>
        </w:rPr>
        <w:t xml:space="preserve">               </w:t>
      </w:r>
      <w:r w:rsidRPr="00E02AE1">
        <w:rPr>
          <w:sz w:val="24"/>
          <w:szCs w:val="24"/>
        </w:rPr>
        <w:t xml:space="preserve">с Контрактом; 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привлекать к исполнению своих обязательств по настоящему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:rsidR="00040F12" w:rsidRPr="00E02AE1" w:rsidRDefault="00040F12" w:rsidP="00040F12">
      <w:pPr>
        <w:widowControl w:val="0"/>
        <w:ind w:firstLine="709"/>
        <w:jc w:val="both"/>
        <w:rPr>
          <w:b/>
          <w:i/>
          <w:snapToGrid w:val="0"/>
          <w:color w:val="000000"/>
          <w:sz w:val="24"/>
          <w:szCs w:val="24"/>
        </w:rPr>
      </w:pPr>
      <w:r w:rsidRPr="00E02AE1">
        <w:rPr>
          <w:b/>
          <w:i/>
          <w:snapToGrid w:val="0"/>
          <w:color w:val="000000"/>
          <w:sz w:val="24"/>
          <w:szCs w:val="24"/>
        </w:rPr>
        <w:t>5.2. Поставщик обязан: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произвести поставку Товара на условиях настоящего Контракта;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осуществлять заправку автомашин нефтепродуктами круглосуточно на оборудованных АЗС согласно нормам противопожарной безопасности, экологической безо</w:t>
      </w:r>
      <w:r w:rsidR="008D39B2">
        <w:rPr>
          <w:sz w:val="24"/>
          <w:szCs w:val="24"/>
        </w:rPr>
        <w:t xml:space="preserve">пасности и </w:t>
      </w:r>
      <w:r w:rsidRPr="00E02AE1">
        <w:rPr>
          <w:sz w:val="24"/>
          <w:szCs w:val="24"/>
        </w:rPr>
        <w:t>т.д.</w:t>
      </w:r>
      <w:r w:rsidR="00A5197A">
        <w:rPr>
          <w:sz w:val="24"/>
          <w:szCs w:val="24"/>
        </w:rPr>
        <w:t>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обеспечить передачу не позднее 10 числа следующего за расчетным месяц</w:t>
      </w:r>
      <w:r w:rsidR="00B70FCC">
        <w:rPr>
          <w:sz w:val="24"/>
          <w:szCs w:val="24"/>
        </w:rPr>
        <w:t>ем</w:t>
      </w:r>
      <w:r w:rsidRPr="00E02AE1">
        <w:rPr>
          <w:sz w:val="24"/>
          <w:szCs w:val="24"/>
        </w:rPr>
        <w:t xml:space="preserve"> счет, счет-фактуру, товарно-транспортные (товарные) накладные; 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обеспечить соответствие поставки Товара действующим стандартам Российской Федерации, регламентирующим его маркировку, хранение и транспортирование, на условиях, предусмотренных в Приложении № 1 к Контракту;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по требованию заказчика предоставлять паспорт завода-изготовителя на нефтепродукты с указанием в нём срока действия сертификата и гарантийного срока хранения Товара;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незамедлительно информировать Заказчика в случае невозможности исполнения обяза</w:t>
      </w:r>
      <w:r w:rsidR="00A5197A">
        <w:rPr>
          <w:sz w:val="24"/>
          <w:szCs w:val="24"/>
        </w:rPr>
        <w:t>тельств по настоящему Контракту;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по требованию Заказчика предоставить информацию о ходе выполнения задания.</w:t>
      </w:r>
    </w:p>
    <w:p w:rsidR="00040F12" w:rsidRPr="00E02AE1" w:rsidRDefault="00040F12" w:rsidP="00040F12">
      <w:pPr>
        <w:widowControl w:val="0"/>
        <w:ind w:firstLine="709"/>
        <w:jc w:val="both"/>
        <w:rPr>
          <w:b/>
          <w:i/>
          <w:snapToGrid w:val="0"/>
          <w:color w:val="000000"/>
          <w:sz w:val="24"/>
          <w:szCs w:val="24"/>
        </w:rPr>
      </w:pPr>
      <w:r w:rsidRPr="00E02AE1">
        <w:rPr>
          <w:b/>
          <w:i/>
          <w:snapToGrid w:val="0"/>
          <w:color w:val="000000"/>
          <w:sz w:val="24"/>
          <w:szCs w:val="24"/>
        </w:rPr>
        <w:t>5.3. Заказчик имеет право: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 xml:space="preserve">- требовать от Поставщика надлежащего исполнения обязательств в соответствии </w:t>
      </w:r>
      <w:r w:rsidR="00AE0FEC">
        <w:rPr>
          <w:sz w:val="24"/>
          <w:szCs w:val="24"/>
        </w:rPr>
        <w:t xml:space="preserve">   </w:t>
      </w:r>
      <w:r w:rsidRPr="00E02AE1">
        <w:rPr>
          <w:sz w:val="24"/>
          <w:szCs w:val="24"/>
        </w:rPr>
        <w:t>с условиями Контракта;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запрашивать у Поставщика информацию о ходе и состоянии исполнения обязательств Поставщика по настоящему Контракту;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осуществлять контроль за сроками поставки Товара;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lastRenderedPageBreak/>
        <w:t>- для проверки соответствия качества поставляемого Товара требованиям, установленным Контрактом, привлекать независимых экспертов.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b/>
          <w:i/>
          <w:snapToGrid w:val="0"/>
          <w:color w:val="000000"/>
          <w:sz w:val="24"/>
          <w:szCs w:val="24"/>
        </w:rPr>
        <w:t>5.4. Заказчик обязан:</w:t>
      </w:r>
      <w:r w:rsidRPr="00E02AE1">
        <w:rPr>
          <w:sz w:val="24"/>
          <w:szCs w:val="24"/>
        </w:rPr>
        <w:t xml:space="preserve"> </w:t>
      </w:r>
    </w:p>
    <w:p w:rsidR="00040F12" w:rsidRPr="00E02AE1" w:rsidRDefault="00040F12" w:rsidP="00040F12">
      <w:pPr>
        <w:ind w:firstLine="709"/>
        <w:jc w:val="both"/>
        <w:rPr>
          <w:sz w:val="24"/>
          <w:szCs w:val="24"/>
        </w:rPr>
      </w:pPr>
      <w:r w:rsidRPr="00E02AE1">
        <w:rPr>
          <w:sz w:val="24"/>
          <w:szCs w:val="24"/>
        </w:rPr>
        <w:t>- принять и оплатить Товар в соответствии с условиями настоящего Контракта;</w:t>
      </w:r>
    </w:p>
    <w:p w:rsidR="00040F12" w:rsidRPr="00E02AE1" w:rsidRDefault="00040F12" w:rsidP="00040F12">
      <w:pPr>
        <w:ind w:firstLine="709"/>
        <w:jc w:val="both"/>
        <w:rPr>
          <w:b/>
          <w:i/>
          <w:snapToGrid w:val="0"/>
          <w:color w:val="000000"/>
          <w:sz w:val="24"/>
          <w:szCs w:val="24"/>
        </w:rPr>
      </w:pPr>
      <w:r w:rsidRPr="00E02AE1">
        <w:rPr>
          <w:sz w:val="24"/>
          <w:szCs w:val="24"/>
        </w:rPr>
        <w:t>-подписать товарно-транспортную (товарную)  накладную после предоставления Поставщиком документов (заправочных ведомостей (электронных реестров), счета, счета-фактуры) на поставленный Товар</w:t>
      </w:r>
      <w:r w:rsidR="00252665">
        <w:rPr>
          <w:sz w:val="24"/>
          <w:szCs w:val="24"/>
        </w:rPr>
        <w:t>;</w:t>
      </w:r>
    </w:p>
    <w:p w:rsidR="00040F12" w:rsidRPr="00E02AE1" w:rsidRDefault="00040F12" w:rsidP="00040F1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02AE1">
        <w:rPr>
          <w:snapToGrid w:val="0"/>
          <w:color w:val="000000"/>
          <w:sz w:val="24"/>
          <w:szCs w:val="24"/>
        </w:rPr>
        <w:t>- передавать Поставщику необходимую для выполнения обязательств информацию;</w:t>
      </w:r>
    </w:p>
    <w:p w:rsidR="00040F12" w:rsidRPr="00E02AE1" w:rsidRDefault="00040F12" w:rsidP="00040F12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E02AE1">
        <w:rPr>
          <w:snapToGrid w:val="0"/>
          <w:color w:val="000000"/>
          <w:sz w:val="24"/>
          <w:szCs w:val="24"/>
        </w:rPr>
        <w:t xml:space="preserve">- </w:t>
      </w:r>
      <w:r w:rsidRPr="00E02AE1">
        <w:rPr>
          <w:snapToGrid w:val="0"/>
          <w:sz w:val="24"/>
          <w:szCs w:val="24"/>
        </w:rPr>
        <w:t xml:space="preserve">обеспечить приемку Товара, провести экспертизу Товара, а также </w:t>
      </w:r>
      <w:r w:rsidRPr="00E02AE1">
        <w:rPr>
          <w:snapToGrid w:val="0"/>
          <w:color w:val="000000"/>
          <w:sz w:val="24"/>
          <w:szCs w:val="24"/>
        </w:rPr>
        <w:t>оплатить Товар в порядке и сроки, определенные настоящим Контрактом.</w:t>
      </w:r>
    </w:p>
    <w:p w:rsidR="00040F12" w:rsidRPr="00E02AE1" w:rsidRDefault="00040F12" w:rsidP="00040F12">
      <w:pPr>
        <w:jc w:val="center"/>
        <w:rPr>
          <w:b/>
          <w:bCs/>
          <w:snapToGrid w:val="0"/>
          <w:sz w:val="24"/>
          <w:szCs w:val="24"/>
        </w:rPr>
      </w:pPr>
    </w:p>
    <w:p w:rsidR="00040F12" w:rsidRPr="00E02AE1" w:rsidRDefault="00040F12" w:rsidP="00040F12">
      <w:pPr>
        <w:numPr>
          <w:ilvl w:val="0"/>
          <w:numId w:val="2"/>
        </w:numPr>
        <w:jc w:val="center"/>
        <w:rPr>
          <w:b/>
          <w:bCs/>
          <w:snapToGrid w:val="0"/>
          <w:sz w:val="24"/>
          <w:szCs w:val="24"/>
        </w:rPr>
      </w:pPr>
      <w:r w:rsidRPr="00E02AE1">
        <w:rPr>
          <w:b/>
          <w:bCs/>
          <w:snapToGrid w:val="0"/>
          <w:sz w:val="24"/>
          <w:szCs w:val="24"/>
        </w:rPr>
        <w:t>Порядок и сроки приемки Товара</w:t>
      </w:r>
    </w:p>
    <w:p w:rsidR="00040F12" w:rsidRPr="00E02AE1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 xml:space="preserve">6.1. Приемка Товара по количеству и качеству осуществляется Заказчиком </w:t>
      </w:r>
      <w:r w:rsidR="00AE0FEC">
        <w:rPr>
          <w:snapToGrid w:val="0"/>
          <w:sz w:val="24"/>
          <w:szCs w:val="24"/>
        </w:rPr>
        <w:t xml:space="preserve">              </w:t>
      </w:r>
      <w:r w:rsidRPr="00E02AE1">
        <w:rPr>
          <w:snapToGrid w:val="0"/>
          <w:sz w:val="24"/>
          <w:szCs w:val="24"/>
        </w:rPr>
        <w:t>в соответствии с требованиями и условиями настоящего Контракта.</w:t>
      </w:r>
    </w:p>
    <w:p w:rsidR="00040F12" w:rsidRPr="00B66FC9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6.2</w:t>
      </w:r>
      <w:r w:rsidRPr="00B66FC9">
        <w:rPr>
          <w:sz w:val="24"/>
          <w:szCs w:val="24"/>
        </w:rPr>
        <w:t xml:space="preserve">. В случае несоответствия количества и (или) качества Товара, указанного </w:t>
      </w:r>
      <w:r w:rsidR="00AE0FEC">
        <w:rPr>
          <w:sz w:val="24"/>
          <w:szCs w:val="24"/>
        </w:rPr>
        <w:t xml:space="preserve">           </w:t>
      </w:r>
      <w:r w:rsidRPr="00B66FC9">
        <w:rPr>
          <w:sz w:val="24"/>
          <w:szCs w:val="24"/>
        </w:rPr>
        <w:t xml:space="preserve">в товарной накладной, и фактически поставленного Товара Поставщиком, составляется Акт о недостатках, в котором указываются установленное несоответствие количества </w:t>
      </w:r>
      <w:r w:rsidR="00AE0FEC">
        <w:rPr>
          <w:sz w:val="24"/>
          <w:szCs w:val="24"/>
        </w:rPr>
        <w:t xml:space="preserve">       </w:t>
      </w:r>
      <w:r w:rsidRPr="00B66FC9">
        <w:rPr>
          <w:sz w:val="24"/>
          <w:szCs w:val="24"/>
        </w:rPr>
        <w:t xml:space="preserve">и качества принимаемого </w:t>
      </w:r>
      <w:r w:rsidRPr="00B66FC9">
        <w:rPr>
          <w:snapToGrid w:val="0"/>
          <w:sz w:val="24"/>
          <w:szCs w:val="24"/>
        </w:rPr>
        <w:t>Товара.</w:t>
      </w:r>
    </w:p>
    <w:p w:rsidR="00040F12" w:rsidRPr="00B66FC9" w:rsidRDefault="00040F12" w:rsidP="00040F12">
      <w:pPr>
        <w:ind w:firstLine="709"/>
        <w:jc w:val="both"/>
        <w:rPr>
          <w:snapToGrid w:val="0"/>
          <w:sz w:val="24"/>
          <w:szCs w:val="24"/>
        </w:rPr>
      </w:pPr>
      <w:r w:rsidRPr="00B66FC9">
        <w:rPr>
          <w:snapToGrid w:val="0"/>
          <w:sz w:val="24"/>
          <w:szCs w:val="24"/>
        </w:rPr>
        <w:t>6.</w:t>
      </w:r>
      <w:r>
        <w:rPr>
          <w:snapToGrid w:val="0"/>
          <w:sz w:val="24"/>
          <w:szCs w:val="24"/>
        </w:rPr>
        <w:t>3</w:t>
      </w:r>
      <w:r w:rsidRPr="00B66FC9">
        <w:rPr>
          <w:snapToGrid w:val="0"/>
          <w:sz w:val="24"/>
          <w:szCs w:val="24"/>
        </w:rPr>
        <w:t xml:space="preserve">. Оформленный Акт о недостатках является основанием для предъявления Заказчиком претензии Поставщику по количеству, качеству (в том числе и скрытые недостатки) либо комплектности Товара.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нефтепродуктом, Поставщик возмещает заказчику причиненный ущерб. </w:t>
      </w:r>
    </w:p>
    <w:p w:rsidR="00040F12" w:rsidRPr="00B66FC9" w:rsidRDefault="00040F12" w:rsidP="00040F12">
      <w:pPr>
        <w:ind w:firstLine="709"/>
        <w:jc w:val="both"/>
        <w:rPr>
          <w:b/>
          <w:bCs/>
          <w:snapToGrid w:val="0"/>
          <w:sz w:val="24"/>
          <w:szCs w:val="24"/>
        </w:rPr>
      </w:pPr>
      <w:r w:rsidRPr="00B66FC9">
        <w:rPr>
          <w:snapToGrid w:val="0"/>
          <w:sz w:val="24"/>
          <w:szCs w:val="24"/>
        </w:rPr>
        <w:t>6.</w:t>
      </w:r>
      <w:r>
        <w:rPr>
          <w:snapToGrid w:val="0"/>
          <w:sz w:val="24"/>
          <w:szCs w:val="24"/>
        </w:rPr>
        <w:t>4</w:t>
      </w:r>
      <w:r w:rsidRPr="00B66FC9">
        <w:rPr>
          <w:snapToGrid w:val="0"/>
          <w:sz w:val="24"/>
          <w:szCs w:val="24"/>
        </w:rPr>
        <w:t xml:space="preserve">. По итогам приемки Товара при отсутствии претензий Заказчика к качеству, количеству, ассортименту, комплектности и другим характеристикам Товара Заказчик подписывает товарно-транспортную </w:t>
      </w:r>
      <w:r w:rsidRPr="00B66FC9">
        <w:rPr>
          <w:sz w:val="24"/>
          <w:szCs w:val="24"/>
        </w:rPr>
        <w:t xml:space="preserve">(товарную) </w:t>
      </w:r>
      <w:r w:rsidRPr="00B66FC9">
        <w:rPr>
          <w:snapToGrid w:val="0"/>
          <w:sz w:val="24"/>
          <w:szCs w:val="24"/>
        </w:rPr>
        <w:t>накладную в течение 3 (Трех) рабочих дней в двух экземплярах и направляет один экземпляр Поставщику.</w:t>
      </w:r>
    </w:p>
    <w:p w:rsidR="00040F12" w:rsidRPr="00E8447F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E8447F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6.5.</w:t>
      </w:r>
      <w:r w:rsidRPr="00E8447F">
        <w:rPr>
          <w:rFonts w:ascii="Times New Roman" w:hAnsi="Times New Roman"/>
          <w:color w:val="000000"/>
          <w:sz w:val="24"/>
          <w:szCs w:val="24"/>
        </w:rPr>
        <w:t xml:space="preserve">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соответствующих контрактов.</w:t>
      </w:r>
    </w:p>
    <w:p w:rsidR="00040F12" w:rsidRPr="00E8447F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</w:p>
    <w:p w:rsidR="00040F12" w:rsidRPr="00E02AE1" w:rsidRDefault="00040F12" w:rsidP="00040F12">
      <w:pPr>
        <w:jc w:val="center"/>
        <w:rPr>
          <w:snapToGrid w:val="0"/>
          <w:sz w:val="24"/>
          <w:szCs w:val="24"/>
        </w:rPr>
      </w:pPr>
      <w:r w:rsidRPr="00E02AE1">
        <w:rPr>
          <w:b/>
          <w:bCs/>
          <w:snapToGrid w:val="0"/>
          <w:sz w:val="24"/>
          <w:szCs w:val="24"/>
        </w:rPr>
        <w:t>7. Ответственность Сторон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7.1.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Контракта. 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7.2</w:t>
      </w:r>
      <w:r w:rsidRPr="00E02AE1">
        <w:rPr>
          <w:rFonts w:ascii="Times New Roman" w:hAnsi="Times New Roman"/>
          <w:sz w:val="24"/>
          <w:szCs w:val="24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 xml:space="preserve">7.3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 xml:space="preserve">7.4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соответствии </w:t>
      </w:r>
      <w:r w:rsidR="00AE0FEC">
        <w:rPr>
          <w:rFonts w:ascii="Times New Roman" w:hAnsi="Times New Roman"/>
          <w:sz w:val="24"/>
          <w:szCs w:val="24"/>
        </w:rPr>
        <w:t xml:space="preserve">                  </w:t>
      </w:r>
      <w:r w:rsidRPr="00E02AE1">
        <w:rPr>
          <w:rFonts w:ascii="Times New Roman" w:hAnsi="Times New Roman"/>
          <w:sz w:val="24"/>
          <w:szCs w:val="24"/>
        </w:rPr>
        <w:t xml:space="preserve">с </w:t>
      </w:r>
      <w:r w:rsidRPr="00E02AE1">
        <w:rPr>
          <w:rFonts w:ascii="Times New Roman" w:eastAsia="Calibri" w:hAnsi="Times New Roman"/>
          <w:sz w:val="24"/>
          <w:szCs w:val="24"/>
        </w:rPr>
        <w:t xml:space="preserve">Правилами определения размера штрафа, начисляемого в случае ненадлежащего </w:t>
      </w:r>
      <w:r w:rsidRPr="00E02AE1">
        <w:rPr>
          <w:rFonts w:ascii="Times New Roman" w:eastAsia="Calibri" w:hAnsi="Times New Roman"/>
          <w:sz w:val="24"/>
          <w:szCs w:val="24"/>
        </w:rPr>
        <w:lastRenderedPageBreak/>
        <w:t>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25 ноября 2013 года № 1063 (далее – Правила)</w:t>
      </w:r>
      <w:r w:rsidRPr="00E02AE1">
        <w:rPr>
          <w:rFonts w:ascii="Times New Roman" w:hAnsi="Times New Roman"/>
          <w:sz w:val="24"/>
          <w:szCs w:val="24"/>
        </w:rPr>
        <w:t xml:space="preserve">, </w:t>
      </w:r>
      <w:r w:rsidR="00AE0FEC">
        <w:rPr>
          <w:rFonts w:ascii="Times New Roman" w:hAnsi="Times New Roman"/>
          <w:sz w:val="24"/>
          <w:szCs w:val="24"/>
        </w:rPr>
        <w:t xml:space="preserve">  </w:t>
      </w:r>
      <w:r w:rsidRPr="00E02AE1">
        <w:rPr>
          <w:rFonts w:ascii="Times New Roman" w:hAnsi="Times New Roman"/>
          <w:sz w:val="24"/>
          <w:szCs w:val="24"/>
        </w:rPr>
        <w:t>в виде фиксированной суммы в размере _________.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>7.5.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 xml:space="preserve">7.6.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AE0FEC">
        <w:rPr>
          <w:rFonts w:ascii="Times New Roman" w:hAnsi="Times New Roman"/>
          <w:sz w:val="24"/>
          <w:szCs w:val="24"/>
        </w:rPr>
        <w:t xml:space="preserve">                              </w:t>
      </w:r>
      <w:r w:rsidRPr="00E02AE1">
        <w:rPr>
          <w:rFonts w:ascii="Times New Roman" w:hAnsi="Times New Roman"/>
          <w:sz w:val="24"/>
          <w:szCs w:val="24"/>
        </w:rPr>
        <w:t>и устанавливается в размере, определенном в соответствии с Правилами, но не менее чем одна трехсотая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02AE1">
        <w:rPr>
          <w:rFonts w:ascii="Times New Roman" w:hAnsi="Times New Roman"/>
          <w:sz w:val="24"/>
          <w:szCs w:val="24"/>
        </w:rPr>
        <w:t xml:space="preserve">7.7.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в соответствии </w:t>
      </w:r>
      <w:r w:rsidR="00AE0FEC">
        <w:rPr>
          <w:rFonts w:ascii="Times New Roman" w:hAnsi="Times New Roman"/>
          <w:sz w:val="24"/>
          <w:szCs w:val="24"/>
        </w:rPr>
        <w:t xml:space="preserve">                   </w:t>
      </w:r>
      <w:r w:rsidRPr="00E02AE1">
        <w:rPr>
          <w:rFonts w:ascii="Times New Roman" w:hAnsi="Times New Roman"/>
          <w:sz w:val="24"/>
          <w:szCs w:val="24"/>
        </w:rPr>
        <w:t>с Правилами в виде фиксированной суммы в размере _________.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z w:val="24"/>
          <w:szCs w:val="24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Сторона, для которой в связи с названными обстоятельствами создалась невозможность выполнения своих обязательств по Контракту, в 3-дневный срок письменно извещает другую Сторону о невозможности выполнения обязательств по Контракту с указанием причин.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napToGrid w:val="0"/>
          <w:sz w:val="24"/>
          <w:szCs w:val="24"/>
        </w:rPr>
        <w:t xml:space="preserve">7.9. Все споры и разногласия разрешаются путем переговоров между Сторонами </w:t>
      </w:r>
      <w:r w:rsidR="00AE0FEC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Pr="00E02AE1">
        <w:rPr>
          <w:rFonts w:ascii="Times New Roman" w:hAnsi="Times New Roman"/>
          <w:snapToGrid w:val="0"/>
          <w:sz w:val="24"/>
          <w:szCs w:val="24"/>
        </w:rPr>
        <w:t>с обязательным составлением протокола переговоров, подписываемого представителями обеих Сторон. Если соглашение не достигнуто, то разрешение противоречий производится в претензионном порядке.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napToGrid w:val="0"/>
          <w:sz w:val="24"/>
          <w:szCs w:val="24"/>
        </w:rPr>
        <w:t xml:space="preserve">В случае если Стороны не придут к соглашению, споры подлежат рассмотрению </w:t>
      </w:r>
      <w:r w:rsidR="00AE0FEC">
        <w:rPr>
          <w:rFonts w:ascii="Times New Roman" w:hAnsi="Times New Roman"/>
          <w:snapToGrid w:val="0"/>
          <w:sz w:val="24"/>
          <w:szCs w:val="24"/>
        </w:rPr>
        <w:t xml:space="preserve">    </w:t>
      </w:r>
      <w:r w:rsidRPr="00E02AE1">
        <w:rPr>
          <w:rFonts w:ascii="Times New Roman" w:hAnsi="Times New Roman"/>
          <w:snapToGrid w:val="0"/>
          <w:sz w:val="24"/>
          <w:szCs w:val="24"/>
        </w:rPr>
        <w:t xml:space="preserve">в порядке, установленным действующим законодательством Российской Федерации, </w:t>
      </w:r>
      <w:r w:rsidR="00AE0FEC">
        <w:rPr>
          <w:rFonts w:ascii="Times New Roman" w:hAnsi="Times New Roman"/>
          <w:snapToGrid w:val="0"/>
          <w:sz w:val="24"/>
          <w:szCs w:val="24"/>
        </w:rPr>
        <w:t xml:space="preserve">        </w:t>
      </w:r>
      <w:r w:rsidRPr="00E02AE1">
        <w:rPr>
          <w:rFonts w:ascii="Times New Roman" w:hAnsi="Times New Roman"/>
          <w:snapToGrid w:val="0"/>
          <w:sz w:val="24"/>
          <w:szCs w:val="24"/>
        </w:rPr>
        <w:t>в Арбитражном суде Архангельской области.</w:t>
      </w:r>
    </w:p>
    <w:p w:rsidR="00040F12" w:rsidRPr="00E02AE1" w:rsidRDefault="00040F12" w:rsidP="00040F12">
      <w:pPr>
        <w:pStyle w:val="6"/>
        <w:jc w:val="center"/>
        <w:rPr>
          <w:b/>
          <w:szCs w:val="24"/>
        </w:rPr>
      </w:pPr>
    </w:p>
    <w:p w:rsidR="00040F12" w:rsidRPr="00E02AE1" w:rsidRDefault="00040F12" w:rsidP="00040F12">
      <w:pPr>
        <w:pStyle w:val="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8</w:t>
      </w:r>
      <w:r w:rsidRPr="00E02AE1">
        <w:rPr>
          <w:rFonts w:ascii="Times New Roman" w:hAnsi="Times New Roman"/>
          <w:b/>
          <w:snapToGrid w:val="0"/>
          <w:sz w:val="24"/>
          <w:szCs w:val="24"/>
          <w:lang w:eastAsia="ru-RU"/>
        </w:rPr>
        <w:t>. Переход права собственности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8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.1. Право собственности на Товар переходит к Заказчику с момента доставки Товара и подписания Заказчиком товарно-транспортной (товарной) накладной.</w:t>
      </w:r>
    </w:p>
    <w:p w:rsidR="00040F12" w:rsidRPr="00E02AE1" w:rsidRDefault="00040F12" w:rsidP="00040F12">
      <w:pPr>
        <w:pStyle w:val="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040F12" w:rsidRPr="00E02AE1" w:rsidRDefault="00040F12" w:rsidP="00040F12">
      <w:pPr>
        <w:pStyle w:val="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9</w:t>
      </w:r>
      <w:r w:rsidRPr="00E02AE1">
        <w:rPr>
          <w:rFonts w:ascii="Times New Roman" w:hAnsi="Times New Roman"/>
          <w:b/>
          <w:snapToGrid w:val="0"/>
          <w:sz w:val="24"/>
          <w:szCs w:val="24"/>
          <w:lang w:eastAsia="ru-RU"/>
        </w:rPr>
        <w:t>. Срок действия Контракта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9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.1. Контракт вступает в силу с момента подписания его обеими Сторонами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и действует до момента выполнения ими принятых на себя обязательств по настоящему Контракту</w:t>
      </w:r>
      <w:r w:rsidR="00906C46">
        <w:rPr>
          <w:rFonts w:ascii="Times New Roman" w:hAnsi="Times New Roman"/>
          <w:snapToGrid w:val="0"/>
          <w:sz w:val="24"/>
          <w:szCs w:val="24"/>
          <w:lang w:eastAsia="ru-RU"/>
        </w:rPr>
        <w:t>, но непозднее 31 декабря 2015г.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9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.2. Прекращение (окончание) срока действия настоящего Контракта влечет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за собой прекращение обязательств Сторон по нему, но не освобождает Стороны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от ответственности за неисполнение или ненадлежащее исполнение Контракта, если таковые имели место при исполнении условий настоящего Контракта.</w:t>
      </w:r>
    </w:p>
    <w:p w:rsidR="00040F12" w:rsidRPr="00E02AE1" w:rsidRDefault="00040F12" w:rsidP="00040F12">
      <w:pPr>
        <w:pStyle w:val="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040F12" w:rsidRPr="00E02AE1" w:rsidRDefault="00040F12" w:rsidP="00040F12">
      <w:pPr>
        <w:pStyle w:val="1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b/>
          <w:snapToGrid w:val="0"/>
          <w:sz w:val="24"/>
          <w:szCs w:val="24"/>
          <w:lang w:eastAsia="ru-RU"/>
        </w:rPr>
        <w:t>. Порядок изменения, расторжения Контракта и прочие условия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.1. Все изменения и дополнения к Контракту действительны, если совершены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в письменной форме и подписаны обеими Сторонами.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.2. При заключении и исполнении Контракта изменение его условий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не допускается, за исключением случаев, предусмотренных настоящим Контрактом.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02AE1">
        <w:rPr>
          <w:rFonts w:ascii="Times New Roman" w:hAnsi="Times New Roman"/>
          <w:sz w:val="24"/>
          <w:szCs w:val="24"/>
        </w:rPr>
        <w:t xml:space="preserve">.3. При исполнении Контракта не допускается перемена Поставщика, </w:t>
      </w:r>
      <w:r w:rsidR="00AE0FEC">
        <w:rPr>
          <w:rFonts w:ascii="Times New Roman" w:hAnsi="Times New Roman"/>
          <w:sz w:val="24"/>
          <w:szCs w:val="24"/>
        </w:rPr>
        <w:t xml:space="preserve">                 </w:t>
      </w:r>
      <w:r w:rsidRPr="00E02AE1">
        <w:rPr>
          <w:rFonts w:ascii="Times New Roman" w:hAnsi="Times New Roman"/>
          <w:sz w:val="24"/>
          <w:szCs w:val="24"/>
        </w:rPr>
        <w:t>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02AE1">
        <w:rPr>
          <w:rFonts w:ascii="Times New Roman" w:hAnsi="Times New Roman"/>
          <w:sz w:val="24"/>
          <w:szCs w:val="24"/>
        </w:rPr>
        <w:t>.4. В случае перемены Заказчика права и обязанности Заказчика, предусмотренные Контрактом, переходят к новому Заказчику.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02AE1">
        <w:rPr>
          <w:rFonts w:ascii="Times New Roman" w:hAnsi="Times New Roman"/>
          <w:sz w:val="24"/>
          <w:szCs w:val="24"/>
        </w:rPr>
        <w:t xml:space="preserve">.5.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</w:t>
      </w:r>
      <w:r w:rsidR="00AE0FEC">
        <w:rPr>
          <w:rFonts w:ascii="Times New Roman" w:hAnsi="Times New Roman"/>
          <w:sz w:val="24"/>
          <w:szCs w:val="24"/>
        </w:rPr>
        <w:t xml:space="preserve">  </w:t>
      </w:r>
      <w:r w:rsidRPr="00E02AE1">
        <w:rPr>
          <w:rFonts w:ascii="Times New Roman" w:hAnsi="Times New Roman"/>
          <w:sz w:val="24"/>
          <w:szCs w:val="24"/>
        </w:rPr>
        <w:t xml:space="preserve">и соответствующими техническими и функциональными характеристиками, указанными </w:t>
      </w:r>
      <w:r w:rsidR="00AE0FEC">
        <w:rPr>
          <w:rFonts w:ascii="Times New Roman" w:hAnsi="Times New Roman"/>
          <w:sz w:val="24"/>
          <w:szCs w:val="24"/>
        </w:rPr>
        <w:t xml:space="preserve">  </w:t>
      </w:r>
      <w:r w:rsidRPr="00E02AE1">
        <w:rPr>
          <w:rFonts w:ascii="Times New Roman" w:hAnsi="Times New Roman"/>
          <w:sz w:val="24"/>
          <w:szCs w:val="24"/>
        </w:rPr>
        <w:t>в Контракте.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E02AE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.6. При изменении юридического адреса, банковских реквизитов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и организационно-правовой формы Поставщик в двухнедельный срок обязан письменно известить об этом Заказчика. В случае прекращения деятельности Поставщика Стороной Контракта является его правопреемник.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.7. Расторжение Контракта допускается по соглашению Сторон, по решению суда, в случае одностороннего отказа Стороны Контракта от исполнения Контракта </w:t>
      </w:r>
      <w:r w:rsidR="00AE0FEC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соответствии с гражданским законодательством. </w:t>
      </w:r>
    </w:p>
    <w:p w:rsidR="00040F12" w:rsidRPr="00E02AE1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.8. </w:t>
      </w:r>
      <w:r w:rsidRPr="00E02AE1">
        <w:rPr>
          <w:rFonts w:ascii="Times New Roman" w:hAnsi="Times New Roman"/>
          <w:snapToGrid w:val="0"/>
          <w:sz w:val="24"/>
          <w:szCs w:val="24"/>
        </w:rPr>
        <w:t>Настоящий Контракт составлен в электронной форме, подписан усиленными электронными подписями Сторон и имеет одинаковую юридическую силу для них.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После заключения Контракта каждая из Сторон вправе перенести Контракт на бумажный носитель.</w:t>
      </w:r>
    </w:p>
    <w:p w:rsidR="00040F12" w:rsidRDefault="00040F12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10</w:t>
      </w:r>
      <w:r w:rsidRPr="00E02AE1">
        <w:rPr>
          <w:rFonts w:ascii="Times New Roman" w:hAnsi="Times New Roman"/>
          <w:snapToGrid w:val="0"/>
          <w:sz w:val="24"/>
          <w:szCs w:val="24"/>
          <w:lang w:eastAsia="ru-RU"/>
        </w:rPr>
        <w:t>.9. Взаимоотношения Сторон, не урегулированные Контрактом, регламентируются действующим законодательством Российской Федерации.</w:t>
      </w:r>
    </w:p>
    <w:p w:rsidR="00240586" w:rsidRPr="00E02AE1" w:rsidRDefault="00240586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40F12" w:rsidRPr="00E02AE1" w:rsidRDefault="00B70FCC" w:rsidP="00BF32FF">
      <w:pPr>
        <w:widowControl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11</w:t>
      </w:r>
      <w:r w:rsidR="00040F12" w:rsidRPr="00E02AE1">
        <w:rPr>
          <w:b/>
          <w:bCs/>
          <w:color w:val="000000"/>
          <w:sz w:val="24"/>
          <w:szCs w:val="24"/>
        </w:rPr>
        <w:t>. Приложения к Контракту</w:t>
      </w:r>
    </w:p>
    <w:p w:rsidR="00040F12" w:rsidRDefault="00B70FCC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11</w:t>
      </w:r>
      <w:r w:rsidR="00040F12" w:rsidRPr="00E02AE1">
        <w:rPr>
          <w:rFonts w:ascii="Times New Roman" w:hAnsi="Times New Roman"/>
          <w:snapToGrid w:val="0"/>
          <w:sz w:val="24"/>
          <w:szCs w:val="24"/>
          <w:lang w:eastAsia="ru-RU"/>
        </w:rPr>
        <w:t>.1. Неотъемлемой частью настоящего Контракта является Спецификация (Приложение № 1).</w:t>
      </w:r>
    </w:p>
    <w:p w:rsidR="00240586" w:rsidRPr="00E02AE1" w:rsidRDefault="00240586" w:rsidP="00040F12">
      <w:pPr>
        <w:pStyle w:val="1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40F12" w:rsidRPr="00E02AE1" w:rsidRDefault="00B70FCC" w:rsidP="00301C89">
      <w:pPr>
        <w:pStyle w:val="a5"/>
        <w:widowControl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12</w:t>
      </w:r>
      <w:r w:rsidR="00040F12" w:rsidRPr="00E02AE1">
        <w:rPr>
          <w:b/>
          <w:bCs/>
          <w:color w:val="000000"/>
        </w:rPr>
        <w:t>. Юридические адреса и платежные реквизиты</w:t>
      </w:r>
      <w:r w:rsidR="00040F12" w:rsidRPr="00E02AE1">
        <w:rPr>
          <w:b/>
          <w:bCs/>
          <w:color w:val="000000"/>
        </w:rPr>
        <w:tab/>
      </w:r>
      <w:r w:rsidR="00040F12" w:rsidRPr="00E02AE1">
        <w:rPr>
          <w:b/>
          <w:bCs/>
          <w:color w:val="000000"/>
        </w:rPr>
        <w:tab/>
      </w:r>
      <w:r w:rsidR="00040F12" w:rsidRPr="00E02AE1">
        <w:rPr>
          <w:b/>
          <w:bCs/>
          <w:color w:val="000000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21"/>
        <w:gridCol w:w="221"/>
        <w:gridCol w:w="221"/>
      </w:tblGrid>
      <w:tr w:rsidR="00040F12" w:rsidRPr="00E02AE1" w:rsidTr="00301C89">
        <w:trPr>
          <w:trHeight w:val="284"/>
        </w:trPr>
        <w:tc>
          <w:tcPr>
            <w:tcW w:w="9021" w:type="dxa"/>
          </w:tcPr>
          <w:tbl>
            <w:tblPr>
              <w:tblW w:w="9540" w:type="dxa"/>
              <w:tblInd w:w="108" w:type="dxa"/>
              <w:tblLook w:val="04A0" w:firstRow="1" w:lastRow="0" w:firstColumn="1" w:lastColumn="0" w:noHBand="0" w:noVBand="1"/>
            </w:tblPr>
            <w:tblGrid>
              <w:gridCol w:w="4860"/>
              <w:gridCol w:w="4680"/>
            </w:tblGrid>
            <w:tr w:rsidR="00301C89" w:rsidTr="00301C89">
              <w:tc>
                <w:tcPr>
                  <w:tcW w:w="4860" w:type="dxa"/>
                  <w:hideMark/>
                </w:tcPr>
                <w:p w:rsidR="00301C89" w:rsidRDefault="00301C89">
                  <w:pPr>
                    <w:widowControl w:val="0"/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«ЗАКАЗЧИК»</w:t>
                  </w:r>
                </w:p>
              </w:tc>
              <w:tc>
                <w:tcPr>
                  <w:tcW w:w="4680" w:type="dxa"/>
                  <w:hideMark/>
                </w:tcPr>
                <w:p w:rsidR="00301C89" w:rsidRDefault="00301C89">
                  <w:pPr>
                    <w:widowControl w:val="0"/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«ПОСТАВЩИК»</w:t>
                  </w:r>
                </w:p>
              </w:tc>
            </w:tr>
            <w:tr w:rsidR="00301C89" w:rsidTr="00301C89">
              <w:tc>
                <w:tcPr>
                  <w:tcW w:w="4860" w:type="dxa"/>
                </w:tcPr>
                <w:p w:rsidR="00301C89" w:rsidRDefault="00301C89">
                  <w:pPr>
                    <w:widowControl w:val="0"/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Прокуратура Архангельской области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163002, г. Архангельск,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пр. Новгородский, д.15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ИНН 2901052689 КПП 290101001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л/</w:t>
                  </w:r>
                  <w:proofErr w:type="spellStart"/>
                  <w:r>
                    <w:rPr>
                      <w:sz w:val="24"/>
                      <w:szCs w:val="24"/>
                    </w:rPr>
                    <w:t>сч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03241286090 в УФК 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Архангельской области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ОКОНХ 97842  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ОКПО   02910901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р/сч.40105810800000010097 Отделение Архангельск Северо-Западного 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главного управления Банка России</w:t>
                  </w: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041117001</w:t>
                  </w:r>
                </w:p>
                <w:p w:rsidR="00BF32FF" w:rsidRDefault="00BF32FF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  <w:p w:rsidR="00301C89" w:rsidRDefault="00301C89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</w:t>
                  </w:r>
                  <w:r w:rsidR="008D52C0">
                    <w:rPr>
                      <w:sz w:val="24"/>
                      <w:szCs w:val="24"/>
                    </w:rPr>
                    <w:t>__________________ (_____________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B44AC8" w:rsidRDefault="00BF32FF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BF32FF" w:rsidRDefault="00BF32FF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</w:tcPr>
                <w:p w:rsidR="00301C89" w:rsidRDefault="00301C89">
                  <w:pPr>
                    <w:widowControl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40F12" w:rsidRPr="00E02AE1" w:rsidRDefault="00040F12" w:rsidP="006B21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</w:tcPr>
          <w:p w:rsidR="00040F12" w:rsidRPr="00E02AE1" w:rsidRDefault="00040F12" w:rsidP="006B21FB">
            <w:pPr>
              <w:pStyle w:val="a5"/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21" w:type="dxa"/>
          </w:tcPr>
          <w:p w:rsidR="00040F12" w:rsidRPr="00E02AE1" w:rsidRDefault="00040F12" w:rsidP="006B21FB">
            <w:pPr>
              <w:pStyle w:val="a5"/>
              <w:widowControl w:val="0"/>
              <w:rPr>
                <w:color w:val="000000"/>
              </w:rPr>
            </w:pPr>
          </w:p>
        </w:tc>
      </w:tr>
    </w:tbl>
    <w:p w:rsidR="00040F12" w:rsidRPr="00E02AE1" w:rsidRDefault="00040F12" w:rsidP="00040F12">
      <w:pPr>
        <w:widowControl w:val="0"/>
        <w:jc w:val="right"/>
        <w:rPr>
          <w:sz w:val="24"/>
          <w:szCs w:val="24"/>
        </w:rPr>
      </w:pPr>
      <w:r w:rsidRPr="00E02AE1">
        <w:rPr>
          <w:sz w:val="24"/>
          <w:szCs w:val="24"/>
        </w:rPr>
        <w:lastRenderedPageBreak/>
        <w:t>Приложение № 1</w:t>
      </w:r>
    </w:p>
    <w:p w:rsidR="00040F12" w:rsidRPr="00E02AE1" w:rsidRDefault="00040F12" w:rsidP="00040F12">
      <w:pPr>
        <w:ind w:left="5812"/>
        <w:jc w:val="right"/>
        <w:rPr>
          <w:sz w:val="24"/>
          <w:szCs w:val="24"/>
        </w:rPr>
      </w:pPr>
      <w:r w:rsidRPr="00E02AE1">
        <w:rPr>
          <w:sz w:val="24"/>
          <w:szCs w:val="24"/>
        </w:rPr>
        <w:t>к Контракту № _________</w:t>
      </w:r>
    </w:p>
    <w:p w:rsidR="00040F12" w:rsidRPr="00E02AE1" w:rsidRDefault="00040F12" w:rsidP="00040F12">
      <w:pPr>
        <w:ind w:left="5812"/>
        <w:jc w:val="right"/>
        <w:rPr>
          <w:sz w:val="24"/>
          <w:szCs w:val="24"/>
        </w:rPr>
      </w:pPr>
      <w:r w:rsidRPr="00E02AE1">
        <w:rPr>
          <w:sz w:val="24"/>
          <w:szCs w:val="24"/>
        </w:rPr>
        <w:t>от «___» ____________ 2015 года</w:t>
      </w:r>
    </w:p>
    <w:p w:rsidR="00040F12" w:rsidRPr="00E02AE1" w:rsidRDefault="00040F12" w:rsidP="00040F12">
      <w:pPr>
        <w:pStyle w:val="5"/>
        <w:tabs>
          <w:tab w:val="left" w:pos="851"/>
        </w:tabs>
        <w:jc w:val="center"/>
        <w:rPr>
          <w:i w:val="0"/>
          <w:snapToGrid w:val="0"/>
          <w:sz w:val="24"/>
          <w:szCs w:val="24"/>
        </w:rPr>
      </w:pPr>
      <w:r w:rsidRPr="00E02AE1">
        <w:rPr>
          <w:snapToGrid w:val="0"/>
          <w:sz w:val="24"/>
          <w:szCs w:val="24"/>
        </w:rPr>
        <w:t>СПЕЦИФИКАЦИЯ</w:t>
      </w:r>
    </w:p>
    <w:p w:rsidR="00040F12" w:rsidRPr="00E02AE1" w:rsidRDefault="00040F12" w:rsidP="00040F12">
      <w:pPr>
        <w:rPr>
          <w:sz w:val="24"/>
          <w:szCs w:val="24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799"/>
        <w:gridCol w:w="845"/>
        <w:gridCol w:w="845"/>
        <w:gridCol w:w="1234"/>
        <w:gridCol w:w="1273"/>
      </w:tblGrid>
      <w:tr w:rsidR="00040F12" w:rsidRPr="00E02AE1" w:rsidTr="006B21FB">
        <w:trPr>
          <w:trHeight w:val="915"/>
          <w:jc w:val="center"/>
        </w:trPr>
        <w:tc>
          <w:tcPr>
            <w:tcW w:w="576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799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Наименование и характеристики товара</w:t>
            </w: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234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02AE1">
              <w:rPr>
                <w:bCs/>
                <w:color w:val="000000"/>
                <w:sz w:val="24"/>
                <w:szCs w:val="24"/>
              </w:rPr>
              <w:t>Цена за ед. товара</w:t>
            </w:r>
          </w:p>
        </w:tc>
        <w:tc>
          <w:tcPr>
            <w:tcW w:w="1273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02AE1">
              <w:rPr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40F12" w:rsidRPr="00E02AE1" w:rsidTr="006B21FB">
        <w:trPr>
          <w:trHeight w:val="364"/>
          <w:jc w:val="center"/>
        </w:trPr>
        <w:tc>
          <w:tcPr>
            <w:tcW w:w="576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99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F12" w:rsidRPr="00E02AE1" w:rsidTr="006B21FB">
        <w:trPr>
          <w:trHeight w:val="347"/>
          <w:jc w:val="center"/>
        </w:trPr>
        <w:tc>
          <w:tcPr>
            <w:tcW w:w="576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99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F12" w:rsidRPr="00E02AE1" w:rsidTr="006B21FB">
        <w:trPr>
          <w:trHeight w:val="347"/>
          <w:jc w:val="center"/>
        </w:trPr>
        <w:tc>
          <w:tcPr>
            <w:tcW w:w="576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799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F12" w:rsidRPr="00E02AE1" w:rsidTr="006B21FB">
        <w:trPr>
          <w:trHeight w:val="347"/>
          <w:jc w:val="center"/>
        </w:trPr>
        <w:tc>
          <w:tcPr>
            <w:tcW w:w="576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99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  <w:r w:rsidRPr="00E02AE1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/>
            <w:vAlign w:val="center"/>
          </w:tcPr>
          <w:p w:rsidR="00040F12" w:rsidRPr="00E02AE1" w:rsidRDefault="00040F12" w:rsidP="006B21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40F12" w:rsidRPr="00E02AE1" w:rsidRDefault="00040F12" w:rsidP="00040F12">
      <w:pPr>
        <w:pStyle w:val="ConsNonformat"/>
        <w:widowControl/>
        <w:ind w:right="0"/>
        <w:rPr>
          <w:rFonts w:ascii="Times New Roman" w:hAnsi="Times New Roman"/>
          <w:color w:val="000000"/>
          <w:sz w:val="24"/>
          <w:szCs w:val="24"/>
        </w:rPr>
      </w:pPr>
    </w:p>
    <w:p w:rsidR="00040F12" w:rsidRPr="00E02AE1" w:rsidRDefault="00040F12" w:rsidP="00040F12">
      <w:pPr>
        <w:pStyle w:val="ConsNonformat"/>
        <w:widowControl/>
        <w:ind w:right="0"/>
        <w:jc w:val="center"/>
        <w:rPr>
          <w:snapToGrid w:val="0"/>
          <w:color w:val="000000"/>
          <w:sz w:val="24"/>
          <w:szCs w:val="24"/>
        </w:rPr>
      </w:pPr>
      <w:r w:rsidRPr="00E02AE1">
        <w:rPr>
          <w:rFonts w:ascii="Times New Roman" w:hAnsi="Times New Roman"/>
          <w:color w:val="000000"/>
          <w:sz w:val="24"/>
          <w:szCs w:val="24"/>
        </w:rPr>
        <w:t>ПОДПИСИ СТОРОН</w:t>
      </w:r>
      <w:r w:rsidRPr="00E02AE1">
        <w:rPr>
          <w:b/>
          <w:bCs/>
          <w:color w:val="000000"/>
          <w:sz w:val="24"/>
          <w:szCs w:val="24"/>
        </w:rPr>
        <w:t xml:space="preserve"> </w:t>
      </w:r>
    </w:p>
    <w:p w:rsidR="00040F12" w:rsidRPr="004B0943" w:rsidRDefault="00040F12" w:rsidP="00040F12">
      <w:pPr>
        <w:rPr>
          <w:sz w:val="24"/>
          <w:szCs w:val="24"/>
        </w:rPr>
      </w:pPr>
    </w:p>
    <w:p w:rsidR="00EF6525" w:rsidRDefault="00EF6525" w:rsidP="00EF652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 (</w:t>
      </w:r>
      <w:r w:rsidR="008D52C0">
        <w:rPr>
          <w:sz w:val="24"/>
          <w:szCs w:val="24"/>
        </w:rPr>
        <w:t>_____________</w:t>
      </w:r>
      <w:bookmarkStart w:id="0" w:name="_GoBack"/>
      <w:bookmarkEnd w:id="0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 (____________)</w:t>
      </w:r>
    </w:p>
    <w:p w:rsidR="00EF6525" w:rsidRDefault="00EF6525" w:rsidP="00EF6525">
      <w:pPr>
        <w:widowControl w:val="0"/>
        <w:rPr>
          <w:sz w:val="24"/>
          <w:szCs w:val="24"/>
        </w:rPr>
      </w:pPr>
    </w:p>
    <w:p w:rsidR="00EF6525" w:rsidRDefault="00EF6525" w:rsidP="00EF6525">
      <w:pPr>
        <w:widowControl w:val="0"/>
        <w:rPr>
          <w:sz w:val="24"/>
          <w:szCs w:val="24"/>
        </w:rPr>
      </w:pPr>
    </w:p>
    <w:p w:rsidR="00EF6525" w:rsidRDefault="00EF6525" w:rsidP="00EF6525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:rsidR="00EF6525" w:rsidRDefault="00EF6525" w:rsidP="00EF6525">
      <w:pPr>
        <w:widowControl w:val="0"/>
        <w:rPr>
          <w:sz w:val="24"/>
          <w:szCs w:val="24"/>
        </w:rPr>
      </w:pPr>
    </w:p>
    <w:p w:rsidR="00236B51" w:rsidRDefault="00236B51"/>
    <w:sectPr w:rsidR="00236B51" w:rsidSect="0097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73B81"/>
    <w:multiLevelType w:val="hybridMultilevel"/>
    <w:tmpl w:val="F95E467C"/>
    <w:lvl w:ilvl="0" w:tplc="400A123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F376FA4"/>
    <w:multiLevelType w:val="hybridMultilevel"/>
    <w:tmpl w:val="A664FBB0"/>
    <w:lvl w:ilvl="0" w:tplc="2884D5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F12"/>
    <w:rsid w:val="00040F12"/>
    <w:rsid w:val="001B4C52"/>
    <w:rsid w:val="00236B51"/>
    <w:rsid w:val="00240586"/>
    <w:rsid w:val="00252665"/>
    <w:rsid w:val="0028141E"/>
    <w:rsid w:val="00301C89"/>
    <w:rsid w:val="00370CFD"/>
    <w:rsid w:val="004E769D"/>
    <w:rsid w:val="00584E40"/>
    <w:rsid w:val="00694345"/>
    <w:rsid w:val="008D39B2"/>
    <w:rsid w:val="008D3B4F"/>
    <w:rsid w:val="008D52C0"/>
    <w:rsid w:val="008F4B31"/>
    <w:rsid w:val="00906C46"/>
    <w:rsid w:val="009531C1"/>
    <w:rsid w:val="00973953"/>
    <w:rsid w:val="009A64C5"/>
    <w:rsid w:val="00A5197A"/>
    <w:rsid w:val="00AE0FEC"/>
    <w:rsid w:val="00B44AC8"/>
    <w:rsid w:val="00B70FCC"/>
    <w:rsid w:val="00BF32FF"/>
    <w:rsid w:val="00D67D9C"/>
    <w:rsid w:val="00DD69CA"/>
    <w:rsid w:val="00EB003B"/>
    <w:rsid w:val="00E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5567D-1D3D-49CE-B395-81CF6D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aliases w:val="OG Appendix"/>
    <w:basedOn w:val="a"/>
    <w:next w:val="a"/>
    <w:link w:val="50"/>
    <w:unhideWhenUsed/>
    <w:qFormat/>
    <w:rsid w:val="00040F1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OG Appendix Знак"/>
    <w:basedOn w:val="a0"/>
    <w:link w:val="5"/>
    <w:rsid w:val="00040F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qFormat/>
    <w:rsid w:val="0004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04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040F12"/>
    <w:rPr>
      <w:rFonts w:ascii="Arial" w:hAnsi="Arial" w:cs="Arial"/>
      <w:snapToGrid w:val="0"/>
    </w:rPr>
  </w:style>
  <w:style w:type="paragraph" w:customStyle="1" w:styleId="ConsNormal0">
    <w:name w:val="ConsNormal"/>
    <w:link w:val="ConsNormal"/>
    <w:rsid w:val="00040F12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  <w:snapToGrid w:val="0"/>
    </w:rPr>
  </w:style>
  <w:style w:type="paragraph" w:customStyle="1" w:styleId="1">
    <w:name w:val="Без интервала1"/>
    <w:link w:val="NoSpacingChar"/>
    <w:qFormat/>
    <w:rsid w:val="00040F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40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0F1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1"/>
    <w:locked/>
    <w:rsid w:val="00040F12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nhideWhenUsed/>
    <w:rsid w:val="00040F1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4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040F12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lang w:eastAsia="ru-RU"/>
    </w:rPr>
  </w:style>
  <w:style w:type="character" w:customStyle="1" w:styleId="ConsNonformat0">
    <w:name w:val="ConsNonformat Знак"/>
    <w:link w:val="ConsNonformat"/>
    <w:locked/>
    <w:rsid w:val="00040F12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basedOn w:val="a"/>
    <w:rsid w:val="00040F12"/>
    <w:rPr>
      <w:sz w:val="24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D52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52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24</cp:revision>
  <cp:lastPrinted>2015-08-29T10:29:00Z</cp:lastPrinted>
  <dcterms:created xsi:type="dcterms:W3CDTF">2015-05-26T09:02:00Z</dcterms:created>
  <dcterms:modified xsi:type="dcterms:W3CDTF">2015-08-29T10:29:00Z</dcterms:modified>
</cp:coreProperties>
</file>