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B2F63" w14:textId="77777777" w:rsidR="00664409" w:rsidRDefault="00664409" w:rsidP="00664409">
      <w:pPr>
        <w:pStyle w:val="ConsPlusTitle"/>
        <w:spacing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14:paraId="7890F6A9" w14:textId="77777777" w:rsidR="00664409" w:rsidRDefault="00664409" w:rsidP="00664409">
      <w:pPr>
        <w:pStyle w:val="ConsPlusTitle"/>
        <w:spacing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14:paraId="624F86A3" w14:textId="77777777" w:rsidR="00664409" w:rsidRDefault="00664409" w:rsidP="00664409">
      <w:pPr>
        <w:pStyle w:val="ConsPlusTitle"/>
        <w:spacing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14:paraId="63114E45" w14:textId="77777777" w:rsidR="00664409" w:rsidRDefault="00664409" w:rsidP="00664409">
      <w:pPr>
        <w:pStyle w:val="ConsPlusTitle"/>
        <w:spacing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14:paraId="27C2631B" w14:textId="77777777" w:rsidR="00664409" w:rsidRDefault="00664409" w:rsidP="00664409">
      <w:pPr>
        <w:pStyle w:val="ConsPlusTitle"/>
        <w:spacing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14:paraId="0848B1A3" w14:textId="77777777" w:rsidR="00664409" w:rsidRDefault="00664409" w:rsidP="00664409">
      <w:pPr>
        <w:pStyle w:val="ConsPlusTitle"/>
        <w:spacing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14:paraId="6755D5D7" w14:textId="77777777" w:rsidR="00D16833" w:rsidRDefault="00D16833" w:rsidP="00664409">
      <w:pPr>
        <w:pStyle w:val="ConsPlusTitle"/>
        <w:spacing w:line="240" w:lineRule="exact"/>
        <w:jc w:val="center"/>
        <w:rPr>
          <w:rFonts w:ascii="Times New Roman" w:hAnsi="Times New Roman"/>
          <w:color w:val="000000" w:themeColor="text1"/>
          <w:sz w:val="28"/>
        </w:rPr>
      </w:pPr>
    </w:p>
    <w:p w14:paraId="0B000000" w14:textId="75CE9991" w:rsidR="00BD4E96" w:rsidRDefault="00DB5012" w:rsidP="00664409">
      <w:pPr>
        <w:pStyle w:val="ConsPlusTitle"/>
        <w:spacing w:line="240" w:lineRule="exact"/>
        <w:jc w:val="center"/>
        <w:rPr>
          <w:rFonts w:ascii="Times New Roman" w:hAnsi="Times New Roman"/>
          <w:color w:val="000000" w:themeColor="text1"/>
          <w:sz w:val="28"/>
        </w:rPr>
      </w:pPr>
      <w:bookmarkStart w:id="0" w:name="_GoBack"/>
      <w:r>
        <w:rPr>
          <w:rFonts w:ascii="Times New Roman" w:hAnsi="Times New Roman"/>
          <w:color w:val="000000" w:themeColor="text1"/>
          <w:sz w:val="28"/>
        </w:rPr>
        <w:t xml:space="preserve">О внесении изменений в приказ Генерального прокурора </w:t>
      </w:r>
      <w:r w:rsidR="00664409"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Российской Федерации </w:t>
      </w:r>
      <w:r w:rsidR="008B196A" w:rsidRPr="008B196A">
        <w:rPr>
          <w:rFonts w:ascii="Times New Roman" w:hAnsi="Times New Roman"/>
          <w:color w:val="000000" w:themeColor="text1"/>
          <w:sz w:val="28"/>
        </w:rPr>
        <w:t xml:space="preserve">от </w:t>
      </w:r>
      <w:hyperlink r:id="rId6">
        <w:r w:rsidR="008B196A" w:rsidRPr="008B196A">
          <w:rPr>
            <w:rFonts w:ascii="Times New Roman" w:hAnsi="Times New Roman"/>
            <w:color w:val="000000" w:themeColor="text1"/>
            <w:sz w:val="28"/>
          </w:rPr>
          <w:t>07.05.2008 № 84 «О разграничении компетенции прокуроров территориальных, военных и других специализированных прокуратур»</w:t>
        </w:r>
      </w:hyperlink>
    </w:p>
    <w:bookmarkEnd w:id="0"/>
    <w:p w14:paraId="074F5D9E" w14:textId="77777777" w:rsidR="00881A45" w:rsidRDefault="00881A45" w:rsidP="005B3BC7">
      <w:pPr>
        <w:pStyle w:val="ConsPlusTitle"/>
        <w:jc w:val="center"/>
        <w:rPr>
          <w:rFonts w:ascii="Times New Roman" w:hAnsi="Times New Roman"/>
          <w:color w:val="000000" w:themeColor="text1"/>
          <w:sz w:val="28"/>
        </w:rPr>
      </w:pPr>
    </w:p>
    <w:p w14:paraId="0D000000" w14:textId="07533903" w:rsidR="00BD4E96" w:rsidRPr="00BB079D" w:rsidRDefault="005B3BC7" w:rsidP="00BB079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</w:r>
      <w:r w:rsidR="00DB5012" w:rsidRPr="00BB079D">
        <w:rPr>
          <w:rFonts w:ascii="Times New Roman" w:hAnsi="Times New Roman"/>
          <w:color w:val="000000" w:themeColor="text1"/>
          <w:sz w:val="28"/>
        </w:rPr>
        <w:t xml:space="preserve"> </w:t>
      </w:r>
      <w:r w:rsidR="00BB079D" w:rsidRPr="00BB079D">
        <w:rPr>
          <w:rFonts w:ascii="Times New Roman" w:hAnsi="Times New Roman"/>
          <w:sz w:val="28"/>
          <w:szCs w:val="28"/>
        </w:rPr>
        <w:t>В целях совершенствования организации надзорной деятельности, руководствуясь статьей 17 Федерального закона «О прокуратуре Российской Федерации»,</w:t>
      </w:r>
    </w:p>
    <w:p w14:paraId="0E000000" w14:textId="77777777" w:rsidR="00BD4E96" w:rsidRDefault="00BD4E96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</w:p>
    <w:p w14:paraId="03AC187B" w14:textId="77777777" w:rsidR="00D16833" w:rsidRPr="00D16833" w:rsidRDefault="00D16833" w:rsidP="00D16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16833">
        <w:rPr>
          <w:rFonts w:ascii="Times New Roman" w:hAnsi="Times New Roman"/>
          <w:b/>
          <w:color w:val="auto"/>
          <w:sz w:val="28"/>
          <w:szCs w:val="28"/>
        </w:rPr>
        <w:t>П Р И К А З Ы В А Ю:</w:t>
      </w:r>
    </w:p>
    <w:p w14:paraId="10000000" w14:textId="77777777" w:rsidR="00BD4E96" w:rsidRDefault="00BD4E96">
      <w:pPr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31DA03DE" w14:textId="79720ACE" w:rsidR="00D16833" w:rsidRDefault="005B3BC7" w:rsidP="00BB079D">
      <w:pPr>
        <w:pStyle w:val="ConsPlusNormal"/>
        <w:ind w:firstLine="54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DB5012">
        <w:rPr>
          <w:color w:val="000000" w:themeColor="text1"/>
          <w:sz w:val="28"/>
        </w:rPr>
        <w:t xml:space="preserve">1. Внести в </w:t>
      </w:r>
      <w:r w:rsidR="00DB5012" w:rsidRPr="00BB079D">
        <w:rPr>
          <w:color w:val="000000" w:themeColor="text1"/>
          <w:sz w:val="28"/>
        </w:rPr>
        <w:t xml:space="preserve">приказ Генерального прокурора Российской Федерации </w:t>
      </w:r>
      <w:r w:rsidR="00DB5012" w:rsidRPr="00BB079D">
        <w:rPr>
          <w:color w:val="000000" w:themeColor="text1"/>
          <w:sz w:val="28"/>
        </w:rPr>
        <w:br/>
        <w:t xml:space="preserve">от 07.05.2008 № 84 «О разграничении компетенции прокуроров территориальных, военных и других специализированных прокуратур» </w:t>
      </w:r>
      <w:r w:rsidR="00BB079D" w:rsidRPr="00BB079D">
        <w:rPr>
          <w:color w:val="000000" w:themeColor="text1"/>
          <w:sz w:val="28"/>
        </w:rPr>
        <w:t xml:space="preserve">изменение, заменив </w:t>
      </w:r>
      <w:r w:rsidR="008B196A">
        <w:rPr>
          <w:color w:val="000000" w:themeColor="text1"/>
          <w:sz w:val="28"/>
        </w:rPr>
        <w:t>в абзаце</w:t>
      </w:r>
      <w:r w:rsidR="008B196A" w:rsidRPr="008B196A">
        <w:rPr>
          <w:color w:val="000000" w:themeColor="text1"/>
          <w:sz w:val="28"/>
        </w:rPr>
        <w:t xml:space="preserve"> втор</w:t>
      </w:r>
      <w:r w:rsidR="008B196A">
        <w:rPr>
          <w:color w:val="000000" w:themeColor="text1"/>
          <w:sz w:val="28"/>
        </w:rPr>
        <w:t>ом</w:t>
      </w:r>
      <w:r w:rsidR="008B196A" w:rsidRPr="008B196A">
        <w:rPr>
          <w:color w:val="000000" w:themeColor="text1"/>
          <w:sz w:val="28"/>
        </w:rPr>
        <w:t xml:space="preserve"> пункта 6</w:t>
      </w:r>
      <w:r w:rsidR="008B196A">
        <w:rPr>
          <w:color w:val="000000" w:themeColor="text1"/>
          <w:sz w:val="28"/>
        </w:rPr>
        <w:t xml:space="preserve"> </w:t>
      </w:r>
      <w:r w:rsidR="008B196A" w:rsidRPr="008B196A">
        <w:rPr>
          <w:color w:val="000000" w:themeColor="text1"/>
          <w:sz w:val="28"/>
        </w:rPr>
        <w:t xml:space="preserve">слова «а также финансируемых </w:t>
      </w:r>
      <w:r w:rsidR="00BB079D">
        <w:rPr>
          <w:color w:val="000000" w:themeColor="text1"/>
          <w:sz w:val="28"/>
        </w:rPr>
        <w:t xml:space="preserve">                 </w:t>
      </w:r>
      <w:r w:rsidR="008B196A" w:rsidRPr="008B196A">
        <w:rPr>
          <w:color w:val="000000" w:themeColor="text1"/>
          <w:sz w:val="28"/>
        </w:rPr>
        <w:t xml:space="preserve">за счет местных бюджетов региональных поисково-спасательных отрядов </w:t>
      </w:r>
      <w:r w:rsidR="00BB079D">
        <w:rPr>
          <w:color w:val="000000" w:themeColor="text1"/>
          <w:sz w:val="28"/>
        </w:rPr>
        <w:t xml:space="preserve">                           </w:t>
      </w:r>
      <w:r w:rsidR="008B196A" w:rsidRPr="008B196A">
        <w:rPr>
          <w:color w:val="000000" w:themeColor="text1"/>
          <w:sz w:val="28"/>
        </w:rPr>
        <w:t>и территориальных поисковых спасательных служб МЧС России»</w:t>
      </w:r>
      <w:r w:rsidR="008B196A">
        <w:rPr>
          <w:color w:val="000000" w:themeColor="text1"/>
          <w:sz w:val="28"/>
        </w:rPr>
        <w:t xml:space="preserve"> </w:t>
      </w:r>
      <w:r w:rsidR="00BB079D">
        <w:rPr>
          <w:color w:val="000000" w:themeColor="text1"/>
          <w:sz w:val="28"/>
        </w:rPr>
        <w:t xml:space="preserve">                                      </w:t>
      </w:r>
      <w:r w:rsidR="008B196A">
        <w:rPr>
          <w:color w:val="000000" w:themeColor="text1"/>
          <w:sz w:val="28"/>
        </w:rPr>
        <w:t xml:space="preserve">на </w:t>
      </w:r>
      <w:r w:rsidR="008B196A" w:rsidRPr="00BB079D">
        <w:rPr>
          <w:color w:val="000000" w:themeColor="text1"/>
          <w:sz w:val="28"/>
        </w:rPr>
        <w:t>словосочетание</w:t>
      </w:r>
      <w:r w:rsidR="00F80C25">
        <w:rPr>
          <w:color w:val="000000" w:themeColor="text1"/>
          <w:sz w:val="28"/>
        </w:rPr>
        <w:t xml:space="preserve"> </w:t>
      </w:r>
      <w:r w:rsidR="008B196A" w:rsidRPr="00BB079D">
        <w:rPr>
          <w:color w:val="000000" w:themeColor="text1"/>
          <w:sz w:val="28"/>
        </w:rPr>
        <w:t>«профессиональных аварийно-спасательных служб (формирований) МЧС России, штатами которых не предусмотрены должности военнослужащих».</w:t>
      </w:r>
    </w:p>
    <w:p w14:paraId="0F6D9841" w14:textId="5512031F" w:rsidR="00D16833" w:rsidRPr="00D16833" w:rsidRDefault="005B3BC7" w:rsidP="00D16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2</w:t>
      </w:r>
      <w:r w:rsidR="00D16833" w:rsidRPr="00D16833">
        <w:rPr>
          <w:rFonts w:ascii="Times New Roman" w:hAnsi="Times New Roman"/>
          <w:color w:val="auto"/>
          <w:sz w:val="28"/>
          <w:szCs w:val="28"/>
        </w:rPr>
        <w:t>. Настоящий приказ опубликовать в журнале «Законность» и разместить на официальном сайте Генеральной прокуратуры Российской Федерации в сети «Интернет».</w:t>
      </w:r>
    </w:p>
    <w:p w14:paraId="0B54E7F5" w14:textId="5CEEFD22" w:rsidR="00D16833" w:rsidRPr="00D16833" w:rsidRDefault="005B3BC7" w:rsidP="00D16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3</w:t>
      </w:r>
      <w:r w:rsidR="00D16833" w:rsidRPr="00D16833">
        <w:rPr>
          <w:rFonts w:ascii="Times New Roman" w:hAnsi="Times New Roman"/>
          <w:color w:val="auto"/>
          <w:sz w:val="28"/>
          <w:szCs w:val="28"/>
        </w:rPr>
        <w:t>. 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14:paraId="388EC302" w14:textId="7093C025" w:rsidR="00D16833" w:rsidRPr="00D16833" w:rsidRDefault="00D16833" w:rsidP="00D16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6833">
        <w:rPr>
          <w:rFonts w:ascii="Times New Roman" w:hAnsi="Times New Roman"/>
          <w:color w:val="auto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BB079D">
        <w:rPr>
          <w:rFonts w:ascii="Times New Roman" w:hAnsi="Times New Roman"/>
          <w:color w:val="auto"/>
          <w:sz w:val="28"/>
          <w:szCs w:val="28"/>
        </w:rPr>
        <w:t xml:space="preserve">                           </w:t>
      </w:r>
      <w:r w:rsidRPr="00D16833">
        <w:rPr>
          <w:rFonts w:ascii="Times New Roman" w:hAnsi="Times New Roman"/>
          <w:color w:val="auto"/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</w:t>
      </w:r>
      <w:r>
        <w:rPr>
          <w:rFonts w:ascii="Times New Roman" w:hAnsi="Times New Roman"/>
          <w:color w:val="auto"/>
          <w:sz w:val="28"/>
          <w:szCs w:val="28"/>
        </w:rPr>
        <w:t xml:space="preserve">военным </w:t>
      </w:r>
      <w:r w:rsidR="00BB079D">
        <w:rPr>
          <w:rFonts w:ascii="Times New Roman" w:hAnsi="Times New Roman"/>
          <w:color w:val="auto"/>
          <w:sz w:val="28"/>
          <w:szCs w:val="28"/>
        </w:rPr>
        <w:t xml:space="preserve">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и иным </w:t>
      </w:r>
      <w:r w:rsidRPr="00D16833">
        <w:rPr>
          <w:rFonts w:ascii="Times New Roman" w:hAnsi="Times New Roman"/>
          <w:color w:val="auto"/>
          <w:sz w:val="28"/>
          <w:szCs w:val="28"/>
        </w:rPr>
        <w:t>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14:paraId="57DBE6C9" w14:textId="77777777" w:rsidR="00D16833" w:rsidRPr="00D16833" w:rsidRDefault="00D16833" w:rsidP="00D1683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C53F1F6" w14:textId="77777777" w:rsidR="00D16833" w:rsidRPr="00D16833" w:rsidRDefault="00D16833" w:rsidP="00D1683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7639CA" w14:textId="77777777" w:rsidR="00D16833" w:rsidRPr="00D16833" w:rsidRDefault="00D16833" w:rsidP="00D16833">
      <w:pPr>
        <w:spacing w:after="0" w:line="240" w:lineRule="exact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16833">
        <w:rPr>
          <w:rFonts w:ascii="Times New Roman" w:hAnsi="Times New Roman"/>
          <w:bCs/>
          <w:color w:val="auto"/>
          <w:sz w:val="28"/>
          <w:szCs w:val="28"/>
        </w:rPr>
        <w:t>Генеральный прокурор</w:t>
      </w:r>
    </w:p>
    <w:p w14:paraId="1193E8E8" w14:textId="77777777" w:rsidR="00D16833" w:rsidRPr="00D16833" w:rsidRDefault="00D16833" w:rsidP="00D16833">
      <w:pPr>
        <w:spacing w:after="0" w:line="240" w:lineRule="exact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16833">
        <w:rPr>
          <w:rFonts w:ascii="Times New Roman" w:hAnsi="Times New Roman"/>
          <w:bCs/>
          <w:color w:val="auto"/>
          <w:sz w:val="28"/>
          <w:szCs w:val="28"/>
        </w:rPr>
        <w:t>Российской Федерации</w:t>
      </w:r>
      <w:r w:rsidRPr="00D16833">
        <w:rPr>
          <w:rFonts w:ascii="Times New Roman" w:hAnsi="Times New Roman"/>
          <w:bCs/>
          <w:color w:val="auto"/>
          <w:sz w:val="28"/>
          <w:szCs w:val="28"/>
        </w:rPr>
        <w:tab/>
      </w:r>
    </w:p>
    <w:p w14:paraId="7DB9F9E0" w14:textId="77777777" w:rsidR="00BB079D" w:rsidRDefault="00BB079D" w:rsidP="00D16833">
      <w:pPr>
        <w:spacing w:after="0" w:line="240" w:lineRule="exact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1E056C74" w14:textId="5D9379F1" w:rsidR="00D16833" w:rsidRPr="00D16833" w:rsidRDefault="00D16833" w:rsidP="00D16833">
      <w:pPr>
        <w:spacing w:after="0" w:line="240" w:lineRule="exact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16833">
        <w:rPr>
          <w:rFonts w:ascii="Times New Roman" w:hAnsi="Times New Roman"/>
          <w:bCs/>
          <w:color w:val="auto"/>
          <w:sz w:val="28"/>
          <w:szCs w:val="28"/>
        </w:rPr>
        <w:t xml:space="preserve">действительный государственный </w:t>
      </w:r>
    </w:p>
    <w:p w14:paraId="403A04C5" w14:textId="672F8884" w:rsidR="004368A0" w:rsidRDefault="00D16833" w:rsidP="00AB0F58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</w:rPr>
      </w:pPr>
      <w:r w:rsidRPr="00D16833">
        <w:rPr>
          <w:rFonts w:ascii="Times New Roman" w:hAnsi="Times New Roman"/>
          <w:bCs/>
          <w:color w:val="auto"/>
          <w:sz w:val="28"/>
          <w:szCs w:val="28"/>
        </w:rPr>
        <w:t xml:space="preserve">советник юстиции                                                                              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        </w:t>
      </w:r>
      <w:r w:rsidR="004368A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8B196A">
        <w:rPr>
          <w:rFonts w:ascii="Times New Roman" w:hAnsi="Times New Roman"/>
          <w:bCs/>
          <w:color w:val="auto"/>
          <w:sz w:val="28"/>
          <w:szCs w:val="28"/>
        </w:rPr>
        <w:t>А.В. Гуцан</w:t>
      </w:r>
    </w:p>
    <w:sectPr w:rsidR="004368A0" w:rsidSect="00D16833">
      <w:headerReference w:type="first" r:id="rId7"/>
      <w:pgSz w:w="11906" w:h="16838"/>
      <w:pgMar w:top="1134" w:right="707" w:bottom="1276" w:left="1560" w:header="0" w:footer="3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3748" w14:textId="77777777" w:rsidR="008C3EA0" w:rsidRDefault="008C3EA0">
      <w:pPr>
        <w:spacing w:after="0" w:line="240" w:lineRule="auto"/>
      </w:pPr>
      <w:r>
        <w:separator/>
      </w:r>
    </w:p>
  </w:endnote>
  <w:endnote w:type="continuationSeparator" w:id="0">
    <w:p w14:paraId="160B25B8" w14:textId="77777777" w:rsidR="008C3EA0" w:rsidRDefault="008C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1B027" w14:textId="77777777" w:rsidR="008C3EA0" w:rsidRDefault="008C3EA0">
      <w:pPr>
        <w:spacing w:after="0" w:line="240" w:lineRule="auto"/>
      </w:pPr>
      <w:r>
        <w:separator/>
      </w:r>
    </w:p>
  </w:footnote>
  <w:footnote w:type="continuationSeparator" w:id="0">
    <w:p w14:paraId="7EE10D25" w14:textId="77777777" w:rsidR="008C3EA0" w:rsidRDefault="008C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6B3632FC" w:rsidR="00BD4E96" w:rsidRDefault="00DB5012">
    <w:pPr>
      <w:pStyle w:val="a5"/>
      <w:jc w:val="center"/>
      <w:rPr>
        <w:color w:val="FFFFFF" w:themeColor="background1"/>
      </w:rPr>
    </w:pPr>
    <w:r>
      <w:rPr>
        <w:color w:val="FFFFFF" w:themeColor="background1"/>
      </w:rPr>
      <w:fldChar w:fldCharType="begin"/>
    </w:r>
    <w:r>
      <w:rPr>
        <w:color w:val="FFFFFF" w:themeColor="background1"/>
      </w:rPr>
      <w:instrText xml:space="preserve">PAGE </w:instrText>
    </w:r>
    <w:r>
      <w:rPr>
        <w:color w:val="FFFFFF" w:themeColor="background1"/>
      </w:rPr>
      <w:fldChar w:fldCharType="separate"/>
    </w:r>
    <w:r w:rsidR="00802A2D">
      <w:rPr>
        <w:noProof/>
        <w:color w:val="FFFFFF" w:themeColor="background1"/>
      </w:rPr>
      <w:t>1</w:t>
    </w:r>
    <w:r>
      <w:rPr>
        <w:color w:val="FFFFFF" w:themeColor="background1"/>
      </w:rPr>
      <w:fldChar w:fldCharType="end"/>
    </w:r>
  </w:p>
  <w:p w14:paraId="04000000" w14:textId="77777777" w:rsidR="00BD4E96" w:rsidRDefault="00BD4E9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96"/>
    <w:rsid w:val="00205943"/>
    <w:rsid w:val="00224F1A"/>
    <w:rsid w:val="00226C7B"/>
    <w:rsid w:val="004368A0"/>
    <w:rsid w:val="004B7A71"/>
    <w:rsid w:val="005B3BC7"/>
    <w:rsid w:val="00664409"/>
    <w:rsid w:val="006C28E8"/>
    <w:rsid w:val="00802A2D"/>
    <w:rsid w:val="0081123E"/>
    <w:rsid w:val="00845ED6"/>
    <w:rsid w:val="00881A45"/>
    <w:rsid w:val="008B196A"/>
    <w:rsid w:val="008C3EA0"/>
    <w:rsid w:val="00A4264B"/>
    <w:rsid w:val="00A6388E"/>
    <w:rsid w:val="00AB0F58"/>
    <w:rsid w:val="00BB079D"/>
    <w:rsid w:val="00BD4E96"/>
    <w:rsid w:val="00D16833"/>
    <w:rsid w:val="00DB5012"/>
    <w:rsid w:val="00E429BA"/>
    <w:rsid w:val="00F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C89F"/>
  <w15:docId w15:val="{D8482A35-46D5-480B-987F-FB198EB0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Theme="minorHAnsi" w:hAnsiTheme="minorHAnsi"/>
      <w:sz w:val="22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color w:val="000000"/>
      <w:spacing w:val="0"/>
      <w:sz w:val="24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pPr>
      <w:widowControl w:val="0"/>
      <w:spacing w:after="180" w:line="240" w:lineRule="exact"/>
      <w:ind w:left="10" w:hanging="10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6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imes New Roman" w:hAnsi="Times New Roman"/>
      <w:sz w:val="24"/>
    </w:rPr>
  </w:style>
  <w:style w:type="character" w:customStyle="1" w:styleId="ConsPlusJurTerm0">
    <w:name w:val="ConsPlusJurTerm"/>
    <w:link w:val="ConsPlusJurTerm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5449&amp;dst=1000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Аринин Виктор Владимирович</dc:creator>
  <cp:lastModifiedBy>GP</cp:lastModifiedBy>
  <cp:revision>2</cp:revision>
  <dcterms:created xsi:type="dcterms:W3CDTF">2026-03-10T11:05:00Z</dcterms:created>
  <dcterms:modified xsi:type="dcterms:W3CDTF">2026-03-10T11:05:00Z</dcterms:modified>
</cp:coreProperties>
</file>