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6" w:rsidRDefault="00406EA6" w:rsidP="00406EA6">
      <w:pPr>
        <w:pStyle w:val="a3"/>
        <w:rPr>
          <w:sz w:val="36"/>
          <w:szCs w:val="28"/>
        </w:rPr>
      </w:pPr>
      <w:bookmarkStart w:id="0" w:name="_GoBack"/>
      <w:bookmarkEnd w:id="0"/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январь – </w:t>
      </w:r>
      <w:r w:rsidR="0018656A">
        <w:rPr>
          <w:sz w:val="36"/>
          <w:szCs w:val="28"/>
        </w:rPr>
        <w:t>июнь</w:t>
      </w:r>
      <w:r>
        <w:rPr>
          <w:sz w:val="36"/>
          <w:szCs w:val="28"/>
        </w:rPr>
        <w:t xml:space="preserve"> 2023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январь – </w:t>
      </w:r>
      <w:r w:rsidR="0018656A">
        <w:rPr>
          <w:sz w:val="36"/>
          <w:szCs w:val="28"/>
        </w:rPr>
        <w:t>июнь 2023 года зарегистрировано 27</w:t>
      </w:r>
      <w:r>
        <w:rPr>
          <w:sz w:val="36"/>
          <w:szCs w:val="28"/>
        </w:rPr>
        <w:t xml:space="preserve"> </w:t>
      </w:r>
      <w:r w:rsidR="0018656A">
        <w:rPr>
          <w:sz w:val="36"/>
          <w:szCs w:val="28"/>
        </w:rPr>
        <w:t>999 преступлений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>
        <w:rPr>
          <w:bCs w:val="0"/>
          <w:sz w:val="36"/>
          <w:szCs w:val="28"/>
        </w:rPr>
        <w:t>5</w:t>
      </w:r>
      <w:r w:rsidR="0018656A">
        <w:rPr>
          <w:bCs w:val="0"/>
          <w:sz w:val="36"/>
          <w:szCs w:val="28"/>
        </w:rPr>
        <w:t>,2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>% меньше, чем в АППГ (</w:t>
      </w:r>
      <w:r w:rsidR="0018656A">
        <w:rPr>
          <w:sz w:val="36"/>
          <w:szCs w:val="28"/>
        </w:rPr>
        <w:t>29 534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27999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15447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10144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10270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1983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1037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604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5673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2750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A3259A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1740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D96FB2" w:rsidP="00D96FB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  <w:r w:rsidR="007F6F83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A3259A">
                          <w:rPr>
                            <w:b/>
                            <w:bCs/>
                            <w:sz w:val="28"/>
                            <w:szCs w:val="28"/>
                          </w:rPr>
                          <w:t>2330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D96FB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10247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4683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FF6A0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5182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2800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10096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6977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FF6A0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2618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4678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2410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1700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FF6A0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196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1160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FF6A0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A3259A" w:rsidP="00D96FB2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          803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578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309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FF6A03" w:rsidP="00FF6A0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A3259A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FF6A0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A3259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FF6A0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FF6A0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252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203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14152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5375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FF6A0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6486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3895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3111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2065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FF6A0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771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1368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FF6A0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A3259A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169</w:t>
                        </w:r>
                      </w:p>
                    </w:tc>
                  </w:tr>
                  <w:tr w:rsidR="008D266D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70" w:rsidRDefault="00461C70">
      <w:r>
        <w:separator/>
      </w:r>
    </w:p>
  </w:endnote>
  <w:endnote w:type="continuationSeparator" w:id="0">
    <w:p w:rsidR="00461C70" w:rsidRDefault="0046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70" w:rsidRDefault="00461C70">
      <w:r>
        <w:separator/>
      </w:r>
    </w:p>
  </w:footnote>
  <w:footnote w:type="continuationSeparator" w:id="0">
    <w:p w:rsidR="00461C70" w:rsidRDefault="0046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3BF5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0C6C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0D62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35,8 %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28,6 %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11,1%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35.822707953855492</c:v>
                </c:pt>
                <c:pt idx="1">
                  <c:v>28.576020572163291</c:v>
                </c:pt>
                <c:pt idx="2">
                  <c:v>20.89717489910354</c:v>
                </c:pt>
                <c:pt idx="3">
                  <c:v>1.0428943890853244</c:v>
                </c:pt>
                <c:pt idx="4">
                  <c:v>11.111111111111111</c:v>
                </c:pt>
                <c:pt idx="5">
                  <c:v>1.0107503839422838</c:v>
                </c:pt>
                <c:pt idx="6">
                  <c:v>0.16429158184220863</c:v>
                </c:pt>
                <c:pt idx="7">
                  <c:v>0.42144362298653526</c:v>
                </c:pt>
                <c:pt idx="8">
                  <c:v>0.67859566413086181</c:v>
                </c:pt>
                <c:pt idx="9">
                  <c:v>0.19643558698524949</c:v>
                </c:pt>
                <c:pt idx="10">
                  <c:v>7.8574234794099793E-2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C6FF-5F44-48A4-A1E0-149C5818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2023-07-17T07:42:00Z</dcterms:created>
  <dcterms:modified xsi:type="dcterms:W3CDTF">2023-07-17T07:42:00Z</dcterms:modified>
</cp:coreProperties>
</file>