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-425" w:right="425"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Как</w:t>
      </w:r>
      <w:r>
        <w:rPr>
          <w:rFonts w:ascii="Times New Roman" w:hAnsi="Times New Roman"/>
          <w:b w:val="1"/>
          <w:sz w:val="32"/>
          <w:u w:val="single"/>
        </w:rPr>
        <w:t xml:space="preserve"> обратиться</w:t>
      </w:r>
      <w:r>
        <w:rPr>
          <w:rFonts w:ascii="Times New Roman" w:hAnsi="Times New Roman"/>
          <w:b w:val="1"/>
          <w:sz w:val="32"/>
          <w:u w:val="single"/>
        </w:rPr>
        <w:t xml:space="preserve"> в</w:t>
      </w:r>
      <w:r>
        <w:rPr>
          <w:rFonts w:ascii="Times New Roman" w:hAnsi="Times New Roman"/>
          <w:b w:val="1"/>
          <w:sz w:val="32"/>
          <w:u w:val="single"/>
        </w:rPr>
        <w:t xml:space="preserve"> суд</w:t>
      </w:r>
      <w:r>
        <w:rPr>
          <w:rFonts w:ascii="Times New Roman" w:hAnsi="Times New Roman"/>
          <w:b w:val="1"/>
          <w:sz w:val="32"/>
          <w:u w:val="single"/>
        </w:rPr>
        <w:t xml:space="preserve"> с</w:t>
      </w:r>
      <w:r>
        <w:rPr>
          <w:rFonts w:ascii="Times New Roman" w:hAnsi="Times New Roman"/>
          <w:b w:val="1"/>
          <w:sz w:val="32"/>
          <w:u w:val="single"/>
        </w:rPr>
        <w:t xml:space="preserve"> иском</w:t>
      </w:r>
      <w:r>
        <w:rPr>
          <w:rFonts w:ascii="Times New Roman" w:hAnsi="Times New Roman"/>
          <w:b w:val="1"/>
          <w:sz w:val="32"/>
          <w:u w:val="single"/>
        </w:rPr>
        <w:t xml:space="preserve"> о</w:t>
      </w:r>
      <w:r>
        <w:rPr>
          <w:rFonts w:ascii="Times New Roman" w:hAnsi="Times New Roman"/>
          <w:b w:val="1"/>
          <w:sz w:val="32"/>
          <w:u w:val="single"/>
        </w:rPr>
        <w:t xml:space="preserve"> возмещении</w:t>
      </w:r>
      <w:r>
        <w:rPr>
          <w:rFonts w:ascii="Times New Roman" w:hAnsi="Times New Roman"/>
          <w:b w:val="1"/>
          <w:sz w:val="32"/>
          <w:u w:val="single"/>
        </w:rPr>
        <w:t xml:space="preserve"> вреда</w:t>
      </w:r>
      <w:r>
        <w:rPr>
          <w:rFonts w:ascii="Times New Roman" w:hAnsi="Times New Roman"/>
          <w:b w:val="1"/>
          <w:sz w:val="32"/>
          <w:u w:val="single"/>
        </w:rPr>
        <w:t>, причиненного</w:t>
      </w:r>
      <w:r>
        <w:rPr>
          <w:rFonts w:ascii="Times New Roman" w:hAnsi="Times New Roman"/>
          <w:b w:val="1"/>
          <w:sz w:val="32"/>
          <w:u w:val="single"/>
        </w:rPr>
        <w:t xml:space="preserve"> </w:t>
      </w:r>
      <w:r>
        <w:rPr>
          <w:rFonts w:ascii="Times New Roman" w:hAnsi="Times New Roman"/>
          <w:b w:val="1"/>
          <w:sz w:val="32"/>
          <w:u w:val="single"/>
        </w:rPr>
        <w:t xml:space="preserve">несчастным случаем </w:t>
      </w:r>
      <w:r>
        <w:rPr>
          <w:rFonts w:ascii="Times New Roman" w:hAnsi="Times New Roman"/>
          <w:b w:val="1"/>
          <w:sz w:val="32"/>
          <w:u w:val="single"/>
        </w:rPr>
        <w:t xml:space="preserve"> на</w:t>
      </w:r>
      <w:r>
        <w:rPr>
          <w:rFonts w:ascii="Times New Roman" w:hAnsi="Times New Roman"/>
          <w:b w:val="1"/>
          <w:sz w:val="32"/>
          <w:u w:val="single"/>
        </w:rPr>
        <w:t xml:space="preserve"> производстве</w:t>
      </w:r>
    </w:p>
    <w:tbl>
      <w:tblPr>
        <w:tblStyle w:val="Style_1"/>
        <w:tblW w:type="auto" w:w="0"/>
        <w:tblInd w:type="dxa" w:w="-459"/>
        <w:tblBorders>
          <w:insideH w:color="000000" w:sz="6" w:val="single"/>
          <w:insideV w:color="000000" w:val="nil"/>
        </w:tblBorders>
        <w:tblLayout w:type="fixed"/>
      </w:tblPr>
      <w:tblGrid>
        <w:gridCol w:w="2268"/>
        <w:gridCol w:w="9214"/>
      </w:tblGrid>
      <w:tr>
        <w:trPr>
          <w:trHeight w:hRule="atLeast" w:val="312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6" w:val="single"/>
            </w:tcBorders>
            <w:vAlign w:val="top"/>
          </w:tcPr>
          <w:p w14:paraId="02000000">
            <w:pPr>
              <w:numPr>
                <w:numId w:val="1"/>
              </w:numPr>
              <w:spacing w:after="0" w:line="240" w:lineRule="auto"/>
              <w:ind w:hanging="862" w:left="-131"/>
            </w:pPr>
            <w:r>
              <w:rPr>
                <w:rFonts w:ascii="Calibri" w:hAnsi="Calibri"/>
              </w:rPr>
              <w:drawing>
                <wp:inline>
                  <wp:extent cx="1282471" cy="2128458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-6976" l="0" r="63573" t="0"/>
                          <a:stretch/>
                        </pic:blipFill>
                        <pic:spPr>
                          <a:xfrm flipH="false" flipV="false" rot="0">
                            <a:ext cx="1282471" cy="21284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</w:p>
        </w:tc>
        <w:tc>
          <w:tcPr>
            <w:tcW w:type="dxa" w:w="9214"/>
            <w:tcBorders>
              <w:top w:color="000000" w:sz="4" w:val="single"/>
              <w:bottom w:color="000000" w:sz="6" w:val="single"/>
              <w:right w:color="000000" w:sz="4" w:val="single"/>
            </w:tcBorders>
            <w:vAlign w:val="top"/>
          </w:tcPr>
          <w:p w14:paraId="0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i w:val="1"/>
                <w:sz w:val="44"/>
              </w:rPr>
              <w:t>К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>то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может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обратиться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в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суд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с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иском в случае получения работником травмы на производстве? </w:t>
            </w:r>
          </w:p>
          <w:p w14:paraId="05000000">
            <w:pPr>
              <w:numPr>
                <w:numId w:val="2"/>
              </w:numPr>
              <w:spacing w:after="0" w:line="240" w:lineRule="auto"/>
              <w:ind w:hanging="284" w:left="17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работник</w:t>
            </w:r>
            <w:r>
              <w:rPr>
                <w:rFonts w:ascii="Times New Roman" w:hAnsi="Times New Roman"/>
                <w:b w:val="1"/>
                <w:sz w:val="26"/>
              </w:rPr>
              <w:t>, исполняющий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(исполнявший</w:t>
            </w:r>
            <w:r>
              <w:rPr>
                <w:rFonts w:ascii="Times New Roman" w:hAnsi="Times New Roman"/>
                <w:b w:val="1"/>
                <w:sz w:val="26"/>
              </w:rPr>
              <w:t>) обязанности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по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трудовому</w:t>
            </w:r>
            <w:r>
              <w:rPr>
                <w:rFonts w:ascii="Times New Roman" w:hAnsi="Times New Roman"/>
                <w:b w:val="1"/>
                <w:sz w:val="26"/>
              </w:rPr>
              <w:t xml:space="preserve"> договору</w:t>
            </w:r>
            <w:r>
              <w:rPr>
                <w:rFonts w:ascii="Times New Roman" w:hAnsi="Times New Roman"/>
                <w:b w:val="1"/>
                <w:sz w:val="26"/>
              </w:rPr>
              <w:t xml:space="preserve"> либо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фактически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допущенный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исполнению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обязанностей</w:t>
            </w:r>
            <w:r>
              <w:rPr>
                <w:rFonts w:ascii="Times New Roman" w:hAnsi="Times New Roman"/>
                <w:b w:val="1"/>
                <w:sz w:val="26"/>
              </w:rPr>
              <w:t xml:space="preserve"> без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оформления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трудовых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отношений, а также </w:t>
            </w:r>
            <w:r>
              <w:rPr>
                <w:rFonts w:ascii="Times New Roman" w:hAnsi="Times New Roman"/>
                <w:b w:val="1"/>
                <w:sz w:val="26"/>
              </w:rPr>
              <w:t>исполняющий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трудовые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обязанности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рамках</w:t>
            </w:r>
            <w:r>
              <w:rPr>
                <w:rFonts w:ascii="Times New Roman" w:hAnsi="Times New Roman"/>
                <w:b w:val="1"/>
                <w:sz w:val="26"/>
              </w:rPr>
              <w:t xml:space="preserve"> гражданско-правового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договора</w:t>
            </w:r>
            <w:r>
              <w:rPr>
                <w:rFonts w:ascii="Times New Roman" w:hAnsi="Times New Roman"/>
                <w:b w:val="1"/>
                <w:sz w:val="26"/>
              </w:rPr>
              <w:t>;</w:t>
            </w:r>
          </w:p>
          <w:p w14:paraId="06000000">
            <w:pPr>
              <w:numPr>
                <w:numId w:val="2"/>
              </w:numPr>
              <w:spacing w:after="0" w:line="240" w:lineRule="auto"/>
              <w:ind w:hanging="284" w:left="17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Style w:val="Style_2_ch"/>
                <w:rFonts w:ascii="Times New Roman" w:hAnsi="Times New Roman"/>
                <w:b w:val="1"/>
                <w:color w:val="000000"/>
                <w:sz w:val="26"/>
                <w:highlight w:val="white"/>
              </w:rPr>
              <w:t>родственники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6"/>
                <w:highlight w:val="white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6"/>
                <w:highlight w:val="white"/>
              </w:rPr>
              <w:t>пострадавшего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лица</w:t>
            </w:r>
            <w:r>
              <w:rPr>
                <w:rFonts w:ascii="Times New Roman" w:hAnsi="Times New Roman"/>
                <w:b w:val="1"/>
                <w:sz w:val="26"/>
              </w:rPr>
              <w:t>;</w:t>
            </w:r>
          </w:p>
          <w:p w14:paraId="07000000">
            <w:pPr>
              <w:numPr>
                <w:numId w:val="2"/>
              </w:numPr>
              <w:spacing w:after="0" w:line="240" w:lineRule="auto"/>
              <w:ind w:hanging="284" w:left="170"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работник</w:t>
            </w:r>
            <w:r>
              <w:rPr>
                <w:rFonts w:ascii="Times New Roman" w:hAnsi="Times New Roman"/>
                <w:b w:val="1"/>
                <w:sz w:val="26"/>
              </w:rPr>
              <w:t>, другое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лицо</w:t>
            </w:r>
            <w:r>
              <w:rPr>
                <w:rFonts w:ascii="Times New Roman" w:hAnsi="Times New Roman"/>
                <w:b w:val="1"/>
                <w:sz w:val="26"/>
              </w:rPr>
              <w:t>, получающее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образование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соответствии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</w:t>
            </w:r>
            <w:r>
              <w:rPr>
                <w:rFonts w:ascii="Times New Roman" w:hAnsi="Times New Roman"/>
                <w:b w:val="1"/>
                <w:sz w:val="26"/>
              </w:rPr>
              <w:t xml:space="preserve"> ученическим</w:t>
            </w:r>
            <w:r>
              <w:rPr>
                <w:rFonts w:ascii="Times New Roman" w:hAnsi="Times New Roman"/>
                <w:b w:val="1"/>
                <w:sz w:val="26"/>
              </w:rPr>
              <w:t xml:space="preserve"> договором</w:t>
            </w:r>
            <w:r>
              <w:rPr>
                <w:rFonts w:ascii="Times New Roman" w:hAnsi="Times New Roman"/>
                <w:b w:val="1"/>
                <w:sz w:val="26"/>
              </w:rPr>
              <w:t>;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08000000">
            <w:pPr>
              <w:numPr>
                <w:numId w:val="2"/>
              </w:numPr>
              <w:spacing w:after="0" w:line="240" w:lineRule="auto"/>
              <w:ind w:hanging="284" w:left="170"/>
              <w:jc w:val="both"/>
            </w:pPr>
            <w:r>
              <w:rPr>
                <w:rFonts w:ascii="Times New Roman" w:hAnsi="Times New Roman"/>
                <w:b w:val="1"/>
                <w:sz w:val="26"/>
              </w:rPr>
              <w:t>обучающийся</w:t>
            </w:r>
            <w:r>
              <w:rPr>
                <w:rFonts w:ascii="Times New Roman" w:hAnsi="Times New Roman"/>
                <w:b w:val="1"/>
                <w:sz w:val="26"/>
              </w:rPr>
              <w:t>, проходящий</w:t>
            </w:r>
            <w:r>
              <w:rPr>
                <w:rFonts w:ascii="Times New Roman" w:hAnsi="Times New Roman"/>
                <w:b w:val="1"/>
                <w:sz w:val="26"/>
              </w:rPr>
              <w:t xml:space="preserve"> производственную</w:t>
            </w:r>
            <w:r>
              <w:rPr>
                <w:rFonts w:ascii="Times New Roman" w:hAnsi="Times New Roman"/>
                <w:b w:val="1"/>
                <w:sz w:val="26"/>
              </w:rPr>
              <w:t xml:space="preserve"> практику.</w:t>
            </w:r>
            <w:r>
              <w:drawing>
                <wp:anchor allowOverlap="true" behindDoc="true" layoutInCell="true" locked="false" relativeHeight="251658240" simplePos="false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504190</wp:posOffset>
                  </wp:positionV>
                  <wp:extent cx="1228725" cy="1207770"/>
                  <wp:wrapNone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28725" cy="120777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atLeast" w:val="2193"/>
        </w:trPr>
        <w:tc>
          <w:tcPr>
            <w:tcW w:type="dxa" w:w="11482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vAlign w:val="top"/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i w:val="1"/>
                <w:sz w:val="32"/>
              </w:rPr>
            </w:pP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Какие 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>требования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>могут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быть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заявлены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>?</w:t>
            </w:r>
          </w:p>
          <w:p w14:paraId="0A000000">
            <w:pPr>
              <w:numPr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компенсации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морального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вреда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(ст.ст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. 151, 1064, 1099-1101 ГК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РФ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);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</w:p>
          <w:p w14:paraId="0B000000">
            <w:pPr>
              <w:numPr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компенсации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утраченного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заработка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(ст.ст</w:t>
            </w:r>
            <w:r>
              <w:rPr>
                <w:rFonts w:ascii="Times New Roman" w:hAnsi="Times New Roman"/>
                <w:b w:val="1"/>
                <w:sz w:val="26"/>
              </w:rPr>
              <w:t>. 1085, 1086 ГК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РФ</w:t>
            </w:r>
            <w:r>
              <w:rPr>
                <w:rFonts w:ascii="Times New Roman" w:hAnsi="Times New Roman"/>
                <w:b w:val="1"/>
                <w:sz w:val="26"/>
              </w:rPr>
              <w:t>);</w:t>
            </w:r>
          </w:p>
          <w:p w14:paraId="0C000000">
            <w:pPr>
              <w:numPr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компенсации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расходов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лечение </w:t>
            </w:r>
            <w:r>
              <w:rPr>
                <w:rFonts w:ascii="Times New Roman" w:hAnsi="Times New Roman"/>
                <w:b w:val="1"/>
                <w:sz w:val="26"/>
              </w:rPr>
              <w:t>(ст.ст</w:t>
            </w:r>
            <w:r>
              <w:rPr>
                <w:rFonts w:ascii="Times New Roman" w:hAnsi="Times New Roman"/>
                <w:b w:val="1"/>
                <w:sz w:val="26"/>
              </w:rPr>
              <w:t>. 1085, 1092 ГК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РФ</w:t>
            </w:r>
            <w:r>
              <w:rPr>
                <w:rFonts w:ascii="Times New Roman" w:hAnsi="Times New Roman"/>
                <w:b w:val="1"/>
                <w:sz w:val="26"/>
              </w:rPr>
              <w:t>);</w:t>
            </w:r>
          </w:p>
          <w:p w14:paraId="0D000000">
            <w:pPr>
              <w:numPr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Об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осуществлении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компенсационных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выплат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результате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потери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кормильца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                  </w:t>
            </w:r>
            <w:r>
              <w:rPr>
                <w:rFonts w:ascii="Times New Roman" w:hAnsi="Times New Roman"/>
                <w:b w:val="1"/>
                <w:sz w:val="26"/>
              </w:rPr>
              <w:t>(ст.</w:t>
            </w:r>
            <w:r>
              <w:rPr>
                <w:rFonts w:ascii="Times New Roman" w:hAnsi="Times New Roman"/>
                <w:b w:val="1"/>
                <w:sz w:val="26"/>
              </w:rPr>
              <w:t>ст</w:t>
            </w:r>
            <w:r>
              <w:rPr>
                <w:rFonts w:ascii="Times New Roman" w:hAnsi="Times New Roman"/>
                <w:b w:val="1"/>
                <w:sz w:val="26"/>
              </w:rPr>
              <w:t>. 1088, 1089, 1092 ГК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РФ</w:t>
            </w:r>
            <w:r>
              <w:rPr>
                <w:rFonts w:ascii="Times New Roman" w:hAnsi="Times New Roman"/>
                <w:b w:val="1"/>
                <w:sz w:val="26"/>
              </w:rPr>
              <w:t>);</w:t>
            </w:r>
          </w:p>
          <w:p w14:paraId="0E000000">
            <w:pPr>
              <w:numPr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взыскании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расходов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погребени</w:t>
            </w:r>
            <w:r>
              <w:rPr>
                <w:rFonts w:ascii="Times New Roman" w:hAnsi="Times New Roman"/>
                <w:b w:val="1"/>
                <w:sz w:val="26"/>
              </w:rPr>
              <w:t>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случае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смерти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пострадавшего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(ст</w:t>
            </w:r>
            <w:r>
              <w:rPr>
                <w:rFonts w:ascii="Times New Roman" w:hAnsi="Times New Roman"/>
                <w:b w:val="1"/>
                <w:sz w:val="26"/>
              </w:rPr>
              <w:t>. 1094 ГК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РФ</w:t>
            </w:r>
            <w:r>
              <w:rPr>
                <w:rFonts w:ascii="Times New Roman" w:hAnsi="Times New Roman"/>
                <w:b w:val="1"/>
                <w:sz w:val="26"/>
              </w:rPr>
              <w:t>).</w:t>
            </w:r>
          </w:p>
        </w:tc>
      </w:tr>
      <w:tr>
        <w:trPr>
          <w:trHeight w:hRule="atLeast" w:val="65"/>
        </w:trPr>
        <w:tc>
          <w:tcPr>
            <w:tcW w:type="dxa" w:w="11482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0F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  <w:i w:val="1"/>
                <w:sz w:val="32"/>
              </w:rPr>
              <w:t>Как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>ие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>док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>азательства</w:t>
            </w:r>
            <w:r>
              <w:rPr>
                <w:rFonts w:ascii="Times New Roman" w:hAnsi="Times New Roman"/>
                <w:b w:val="1"/>
                <w:i w:val="1"/>
                <w:sz w:val="4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>предоставляются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в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суд</w:t>
            </w: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? </w:t>
            </w:r>
            <w:r>
              <w:drawing>
                <wp:anchor allowOverlap="true" behindDoc="true" distL="114300" distR="114300" layoutInCell="true" locked="false" relativeHeight="251658240" simplePos="false">
                  <wp:simplePos x="0" y="0"/>
                  <wp:positionH relativeFrom="column">
                    <wp:posOffset>5697748</wp:posOffset>
                  </wp:positionH>
                  <wp:positionV relativeFrom="page">
                    <wp:posOffset>302292</wp:posOffset>
                  </wp:positionV>
                  <wp:extent cx="1444700" cy="1132811"/>
                  <wp:wrapNone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44700" cy="1132811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10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</w:pPr>
            <w:r>
              <w:rPr>
                <w:rFonts w:ascii="Times New Roman" w:hAnsi="Times New Roman"/>
                <w:b w:val="1"/>
                <w:sz w:val="24"/>
              </w:rPr>
              <w:t>Копия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приказа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приеме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работу</w:t>
            </w:r>
            <w:r>
              <w:rPr>
                <w:rFonts w:ascii="Times New Roman" w:hAnsi="Times New Roman"/>
                <w:b w:val="1"/>
                <w:sz w:val="24"/>
              </w:rPr>
              <w:t>, трудового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(граждан</w:t>
            </w:r>
            <w:r>
              <w:rPr>
                <w:rFonts w:ascii="Times New Roman" w:hAnsi="Times New Roman"/>
                <w:b w:val="1"/>
                <w:sz w:val="24"/>
              </w:rPr>
              <w:t>ско-правового</w:t>
            </w:r>
            <w:r>
              <w:rPr>
                <w:rFonts w:ascii="Times New Roman" w:hAnsi="Times New Roman"/>
                <w:b w:val="1"/>
                <w:sz w:val="24"/>
              </w:rPr>
              <w:t>)</w:t>
            </w:r>
          </w:p>
          <w:p w14:paraId="11000000">
            <w:pPr>
              <w:spacing w:after="0" w:line="240" w:lineRule="exact"/>
              <w:ind w:firstLine="0" w:left="321"/>
              <w:jc w:val="both"/>
            </w:pPr>
            <w:r>
              <w:rPr>
                <w:rFonts w:ascii="Times New Roman" w:hAnsi="Times New Roman"/>
                <w:b w:val="1"/>
                <w:sz w:val="24"/>
              </w:rPr>
              <w:t>договора</w:t>
            </w:r>
            <w:r>
              <w:rPr>
                <w:rFonts w:ascii="Times New Roman" w:hAnsi="Times New Roman"/>
                <w:b w:val="1"/>
                <w:sz w:val="24"/>
              </w:rPr>
              <w:t>, трудовой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книжки.</w:t>
            </w:r>
          </w:p>
          <w:p w14:paraId="12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Копия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акта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несчастном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случае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производстве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(формы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</w:t>
            </w:r>
            <w:r>
              <w:rPr>
                <w:rFonts w:ascii="Times New Roman" w:hAnsi="Times New Roman"/>
                <w:b w:val="1"/>
                <w:sz w:val="24"/>
              </w:rPr>
              <w:t>-1).</w:t>
            </w:r>
            <w:r>
              <w:rPr>
                <w:sz w:val="24"/>
              </w:rPr>
              <w:t xml:space="preserve"> </w:t>
            </w:r>
          </w:p>
          <w:p w14:paraId="13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Копии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документов</w:t>
            </w:r>
            <w:r>
              <w:rPr>
                <w:rFonts w:ascii="Times New Roman" w:hAnsi="Times New Roman"/>
                <w:b w:val="1"/>
                <w:sz w:val="24"/>
              </w:rPr>
              <w:t>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подтверждающих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возникновение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трудовых</w:t>
            </w:r>
          </w:p>
          <w:p w14:paraId="14000000">
            <w:p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отношений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случае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неоформления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трудового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договора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(например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</w:p>
          <w:p w14:paraId="15000000">
            <w:p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допуск</w:t>
            </w:r>
            <w:r>
              <w:rPr>
                <w:rFonts w:ascii="Times New Roman" w:hAnsi="Times New Roman"/>
                <w:b w:val="1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пострадавшего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произв</w:t>
            </w:r>
            <w:r>
              <w:rPr>
                <w:rFonts w:ascii="Times New Roman" w:hAnsi="Times New Roman"/>
                <w:b w:val="1"/>
                <w:sz w:val="24"/>
              </w:rPr>
              <w:t>одственную</w:t>
            </w:r>
            <w:r>
              <w:rPr>
                <w:rFonts w:ascii="Times New Roman" w:hAnsi="Times New Roman"/>
                <w:b w:val="1"/>
                <w:sz w:val="24"/>
              </w:rPr>
              <w:t>, промышленную</w:t>
            </w:r>
            <w:r>
              <w:rPr>
                <w:rFonts w:ascii="Times New Roman" w:hAnsi="Times New Roman"/>
                <w:b w:val="1"/>
                <w:sz w:val="24"/>
              </w:rPr>
              <w:t>, строительную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16000000">
            <w:p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площадку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пропуск</w:t>
            </w:r>
            <w:r>
              <w:rPr>
                <w:rFonts w:ascii="Times New Roman" w:hAnsi="Times New Roman"/>
                <w:b w:val="1"/>
                <w:sz w:val="24"/>
              </w:rPr>
              <w:t>, журналы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выдачи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пропусков</w:t>
            </w:r>
            <w:r>
              <w:rPr>
                <w:rFonts w:ascii="Times New Roman" w:hAnsi="Times New Roman"/>
                <w:b w:val="1"/>
                <w:sz w:val="24"/>
              </w:rPr>
              <w:t>, приказы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допуске</w:t>
            </w:r>
          </w:p>
          <w:p w14:paraId="17000000">
            <w:p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работников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сторонних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организаций</w:t>
            </w:r>
            <w:r>
              <w:rPr>
                <w:rFonts w:ascii="Times New Roman" w:hAnsi="Times New Roman"/>
                <w:b w:val="1"/>
                <w:sz w:val="24"/>
              </w:rPr>
              <w:t>, списки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работников</w:t>
            </w:r>
            <w:r>
              <w:rPr>
                <w:rFonts w:ascii="Times New Roman" w:hAnsi="Times New Roman"/>
                <w:b w:val="1"/>
                <w:sz w:val="24"/>
              </w:rPr>
              <w:t>, допущенных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работе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объекте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т.п</w:t>
            </w:r>
            <w:r>
              <w:rPr>
                <w:rFonts w:ascii="Times New Roman" w:hAnsi="Times New Roman"/>
                <w:b w:val="1"/>
                <w:sz w:val="24"/>
              </w:rPr>
              <w:t>.).</w:t>
            </w:r>
          </w:p>
          <w:p w14:paraId="18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Медицинское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заключение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характере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степени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тяжести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повреж</w:t>
            </w:r>
            <w:r>
              <w:rPr>
                <w:rFonts w:ascii="Times New Roman" w:hAnsi="Times New Roman"/>
                <w:b w:val="1"/>
                <w:sz w:val="24"/>
              </w:rPr>
              <w:t>дения</w:t>
            </w:r>
            <w:r>
              <w:rPr>
                <w:rFonts w:ascii="Times New Roman" w:hAnsi="Times New Roman"/>
                <w:b w:val="1"/>
                <w:sz w:val="24"/>
              </w:rPr>
              <w:t>, причиненного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здоровью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пострадавшего</w:t>
            </w:r>
            <w:r>
              <w:rPr>
                <w:rFonts w:ascii="Times New Roman" w:hAnsi="Times New Roman"/>
                <w:b w:val="1"/>
                <w:sz w:val="24"/>
              </w:rPr>
              <w:t>, или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причине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его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смерти</w:t>
            </w:r>
            <w:r>
              <w:rPr>
                <w:rFonts w:ascii="Times New Roman" w:hAnsi="Times New Roman"/>
                <w:b w:val="1"/>
                <w:sz w:val="24"/>
              </w:rPr>
              <w:t>, нуждаемости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дополнительных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видах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помощи.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Заключение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МСЭК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утрате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трудоспособности</w:t>
            </w:r>
            <w:r>
              <w:rPr>
                <w:rFonts w:ascii="Times New Roman" w:hAnsi="Times New Roman"/>
                <w:b w:val="1"/>
                <w:sz w:val="24"/>
              </w:rPr>
              <w:t>, установлении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группы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инвалидности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</w:p>
          <w:p w14:paraId="19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Документы</w:t>
            </w:r>
            <w:r>
              <w:rPr>
                <w:rFonts w:ascii="Times New Roman" w:hAnsi="Times New Roman"/>
                <w:b w:val="1"/>
                <w:sz w:val="24"/>
              </w:rPr>
              <w:t>, подтверждающие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произведенные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предстоящие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расходы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лечение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(товарные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чеки</w:t>
            </w:r>
            <w:r>
              <w:rPr>
                <w:rFonts w:ascii="Times New Roman" w:hAnsi="Times New Roman"/>
                <w:b w:val="1"/>
                <w:sz w:val="24"/>
              </w:rPr>
              <w:t>, квитанции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проч</w:t>
            </w:r>
            <w:r>
              <w:rPr>
                <w:rFonts w:ascii="Times New Roman" w:hAnsi="Times New Roman"/>
                <w:b w:val="1"/>
                <w:sz w:val="24"/>
              </w:rPr>
              <w:t>.)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</w:p>
          <w:p w14:paraId="1A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размере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заработной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плат</w:t>
            </w:r>
            <w:r>
              <w:rPr>
                <w:rFonts w:ascii="Times New Roman" w:hAnsi="Times New Roman"/>
                <w:b w:val="1"/>
                <w:sz w:val="24"/>
              </w:rPr>
              <w:t>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пострадавшего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 месяцев</w:t>
            </w:r>
            <w:r>
              <w:rPr>
                <w:rFonts w:ascii="Times New Roman" w:hAnsi="Times New Roman"/>
                <w:b w:val="1"/>
                <w:sz w:val="24"/>
              </w:rPr>
              <w:t>, предшествовавших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увечью.</w:t>
            </w:r>
          </w:p>
          <w:p w14:paraId="1B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Справки-расчеты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единовременных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страховых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выплат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ежемесячных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страховых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выплат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из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ОСФР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Красноярскому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краю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 w14:paraId="1C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Копи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</w:t>
            </w:r>
            <w:r>
              <w:rPr>
                <w:rFonts w:ascii="Times New Roman" w:hAnsi="Times New Roman"/>
                <w:b w:val="1"/>
                <w:sz w:val="24"/>
              </w:rPr>
              <w:t>ист</w:t>
            </w:r>
            <w:r>
              <w:rPr>
                <w:rFonts w:ascii="Times New Roman" w:hAnsi="Times New Roman"/>
                <w:b w:val="1"/>
                <w:sz w:val="24"/>
              </w:rPr>
              <w:t>ков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нетрудоспособности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 w14:paraId="1D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Копии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документов</w:t>
            </w:r>
            <w:r>
              <w:rPr>
                <w:rFonts w:ascii="Times New Roman" w:hAnsi="Times New Roman"/>
                <w:b w:val="1"/>
                <w:sz w:val="24"/>
              </w:rPr>
              <w:t>, подтверждающие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родство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пострадавшим</w:t>
            </w:r>
            <w:r>
              <w:rPr>
                <w:rFonts w:ascii="Times New Roman" w:hAnsi="Times New Roman"/>
                <w:b w:val="1"/>
                <w:sz w:val="24"/>
              </w:rPr>
              <w:t xml:space="preserve"> (в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случае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обращения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суд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родственников</w:t>
            </w:r>
            <w:r>
              <w:rPr>
                <w:rFonts w:ascii="Times New Roman" w:hAnsi="Times New Roman"/>
                <w:b w:val="1"/>
                <w:sz w:val="24"/>
              </w:rPr>
              <w:t>).</w:t>
            </w:r>
          </w:p>
          <w:p w14:paraId="1E000000">
            <w:pPr>
              <w:numPr>
                <w:numId w:val="4"/>
              </w:num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доказательства, подтверждающие нравственные и физические страдания работника.</w:t>
            </w:r>
          </w:p>
          <w:p w14:paraId="1F000000">
            <w:pPr>
              <w:spacing w:after="0" w:line="240" w:lineRule="exact"/>
              <w:ind w:firstLine="0" w:left="321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 </w:t>
            </w:r>
            <w:r>
              <w:rPr>
                <w:rFonts w:ascii="Times New Roman" w:hAnsi="Times New Roman"/>
                <w:i w:val="1"/>
                <w:sz w:val="24"/>
              </w:rPr>
              <w:t>Отсутствие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указанных</w:t>
            </w:r>
            <w:r>
              <w:rPr>
                <w:rFonts w:ascii="Times New Roman" w:hAnsi="Times New Roman"/>
                <w:i w:val="1"/>
                <w:sz w:val="24"/>
              </w:rPr>
              <w:t xml:space="preserve"> документов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препятствует</w:t>
            </w:r>
            <w:r>
              <w:rPr>
                <w:rFonts w:ascii="Times New Roman" w:hAnsi="Times New Roman"/>
                <w:i w:val="1"/>
                <w:sz w:val="24"/>
              </w:rPr>
              <w:t xml:space="preserve"> обращению</w:t>
            </w:r>
            <w:r>
              <w:rPr>
                <w:rFonts w:ascii="Times New Roman" w:hAnsi="Times New Roman"/>
                <w:i w:val="1"/>
                <w:sz w:val="24"/>
              </w:rPr>
              <w:t xml:space="preserve">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суд</w:t>
            </w:r>
            <w:r>
              <w:rPr>
                <w:rFonts w:ascii="Times New Roman" w:hAnsi="Times New Roman"/>
                <w:i w:val="1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sz w:val="24"/>
              </w:rPr>
              <w:t>по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ходатайству</w:t>
            </w:r>
            <w:r>
              <w:rPr>
                <w:rFonts w:ascii="Times New Roman" w:hAnsi="Times New Roman"/>
                <w:i w:val="1"/>
                <w:sz w:val="24"/>
              </w:rPr>
              <w:t xml:space="preserve"> истца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они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могут</w:t>
            </w:r>
            <w:r>
              <w:rPr>
                <w:rFonts w:ascii="Times New Roman" w:hAnsi="Times New Roman"/>
                <w:i w:val="1"/>
                <w:sz w:val="24"/>
              </w:rPr>
              <w:t xml:space="preserve"> быть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истребованы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судом</w:t>
            </w:r>
          </w:p>
          <w:p w14:paraId="20000000">
            <w:pPr>
              <w:spacing w:after="0" w:line="240" w:lineRule="exact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21000000">
      <w:pPr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0"/>
          <w:sz w:val="28"/>
          <w:u w:val="single"/>
        </w:rPr>
        <w:t>ПО ВЫБОРУ ИСТЦА</w:t>
      </w:r>
      <w:r>
        <w:rPr>
          <w:rFonts w:ascii="Times New Roman" w:hAnsi="Times New Roman"/>
          <w:b w:val="1"/>
          <w:i w:val="1"/>
          <w:sz w:val="28"/>
        </w:rPr>
        <w:t xml:space="preserve"> иск ПОДАЕТСЯ в суд ОБЩЕЙ ЮРИСДИКЦИИ по месту жительства ИСТЦА, месту нахождения  ОТВЕТЧИКА, месту ПОЛУЧЕНИЯ  ТРАВМЫ. </w:t>
      </w:r>
      <w:r>
        <w:rPr>
          <w:rFonts w:ascii="Times New Roman" w:hAnsi="Times New Roman"/>
          <w:sz w:val="32"/>
        </w:rPr>
        <w:t>До предъявления в суд копию иска нужно направить заказным письмом либо вручить под роспись ответчику и третьим лицам.</w:t>
      </w:r>
    </w:p>
    <w:p w14:paraId="22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ГОСУДАРСТВЕННОЙ ПОШЛИНОЙ НЕ ОБЛАГАЕТСЯ </w:t>
      </w:r>
    </w:p>
    <w:sectPr>
      <w:pgSz w:h="15840" w:orient="portrait" w:w="12240"/>
      <w:pgMar w:bottom="142" w:footer="708" w:gutter="0" w:header="708" w:left="993" w:right="49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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►"/>
      <w:lvlJc w:val="left"/>
      <w:pPr>
        <w:ind w:hanging="360" w:left="77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149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1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3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5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7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9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1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3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64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rvts6"/>
    <w:link w:val="Style_2_ch"/>
  </w:style>
  <w:style w:styleId="Style_2_ch" w:type="character">
    <w:name w:val="rvts6"/>
    <w:link w:val="Style_2"/>
  </w:style>
  <w:style w:styleId="Style_10" w:type="paragraph">
    <w:name w:val="Стиль1"/>
    <w:basedOn w:val="Style_3"/>
    <w:next w:val="Style_11"/>
    <w:link w:val="Style_10_ch"/>
    <w:pPr>
      <w:spacing w:afterAutospacing="on" w:beforeAutospacing="on" w:line="240" w:lineRule="auto"/>
      <w:ind/>
      <w:jc w:val="left"/>
    </w:pPr>
    <w:rPr>
      <w:rFonts w:ascii="Times New Roman" w:hAnsi="Times New Roman"/>
      <w:sz w:val="24"/>
    </w:rPr>
  </w:style>
  <w:style w:styleId="Style_10_ch" w:type="character">
    <w:name w:val="Стиль1"/>
    <w:basedOn w:val="Style_3_ch"/>
    <w:link w:val="Style_10"/>
    <w:rPr>
      <w:rFonts w:ascii="Times New Roman" w:hAnsi="Times New Roman"/>
      <w:sz w:val="24"/>
    </w:rPr>
  </w:style>
  <w:style w:styleId="Style_12" w:type="paragraph">
    <w:name w:val="Стиль"/>
    <w:basedOn w:val="Style_3"/>
    <w:next w:val="Style_11"/>
    <w:link w:val="Style_12_ch"/>
    <w:pPr>
      <w:spacing w:afterAutospacing="on" w:beforeAutospacing="on" w:line="240" w:lineRule="auto"/>
      <w:ind/>
      <w:jc w:val="left"/>
    </w:pPr>
    <w:rPr>
      <w:rFonts w:ascii="Times New Roman" w:hAnsi="Times New Roman"/>
      <w:sz w:val="24"/>
    </w:rPr>
  </w:style>
  <w:style w:styleId="Style_12_ch" w:type="character">
    <w:name w:val="Стиль"/>
    <w:basedOn w:val="Style_3_ch"/>
    <w:link w:val="Style_12"/>
    <w:rPr>
      <w:rFonts w:ascii="Times New Roman" w:hAnsi="Times New Roman"/>
      <w:sz w:val="24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1" w:type="paragraph">
    <w:name w:val="Normal (Web)"/>
    <w:basedOn w:val="Style_3"/>
    <w:link w:val="Style_11_ch"/>
    <w:pPr>
      <w:ind/>
      <w:jc w:val="left"/>
    </w:pPr>
    <w:rPr>
      <w:rFonts w:ascii="Times New Roman" w:hAnsi="Times New Roman"/>
      <w:sz w:val="24"/>
    </w:rPr>
  </w:style>
  <w:style w:styleId="Style_11_ch" w:type="character">
    <w:name w:val="Normal (Web)"/>
    <w:basedOn w:val="Style_3_ch"/>
    <w:link w:val="Style_11"/>
    <w:rPr>
      <w:rFonts w:ascii="Times New Roman" w:hAnsi="Times New Roman"/>
      <w:sz w:val="24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2025-12-16T13:07:21Z</dcterms:modified>
</cp:coreProperties>
</file>