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B05" w:rsidRDefault="00B75B05" w:rsidP="00C1425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75B05" w:rsidRDefault="00B75B05" w:rsidP="00C1425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B05" w:rsidRDefault="00B75B05" w:rsidP="00C1425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B05" w:rsidRDefault="00B75B05" w:rsidP="00C1425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B05" w:rsidRDefault="00B75B05" w:rsidP="00C1425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B05" w:rsidRPr="00B75B05" w:rsidRDefault="00B75B05" w:rsidP="00B75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5B05" w:rsidRPr="00B75B05" w:rsidRDefault="00B75B05" w:rsidP="00B75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5B05" w:rsidRPr="00B75B05" w:rsidRDefault="00B75B05" w:rsidP="00B75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5B05" w:rsidRPr="00B75B05" w:rsidRDefault="00B75B05" w:rsidP="00B75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5B05" w:rsidRPr="00B75B05" w:rsidRDefault="00B75B05" w:rsidP="00B75B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5B05" w:rsidRPr="00B75B05" w:rsidRDefault="00B75B05" w:rsidP="00B75B05">
      <w:pPr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B75B05" w:rsidRPr="00B75B05" w:rsidRDefault="00B75B05" w:rsidP="00B75B0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yellow"/>
          <w:lang w:eastAsia="ru-RU"/>
        </w:rPr>
      </w:pPr>
    </w:p>
    <w:p w:rsidR="00B75B05" w:rsidRPr="00B75B05" w:rsidRDefault="00B75B05" w:rsidP="00B75B0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Об утверждении </w:t>
      </w:r>
      <w:bookmarkStart w:id="1" w:name="_Hlk110414201"/>
      <w:r w:rsidRPr="00B75B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Порядка </w:t>
      </w:r>
      <w:bookmarkStart w:id="2" w:name="_Hlk110428061"/>
      <w:r w:rsidRPr="00B75B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составления и утверждения отчета о результатах деятельности федеральных государственных бюджетных учреждений, подведомственных Генеральной прокуратуре Российской Федерации, и об использовании закрепленного за ними государственного имущества</w:t>
      </w:r>
      <w:bookmarkEnd w:id="1"/>
      <w:bookmarkEnd w:id="2"/>
    </w:p>
    <w:p w:rsidR="00B75B05" w:rsidRPr="00B75B05" w:rsidRDefault="00B75B05" w:rsidP="00B75B0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trike/>
          <w:color w:val="FF0000"/>
          <w:sz w:val="28"/>
          <w:szCs w:val="28"/>
          <w:lang w:eastAsia="ru-RU"/>
        </w:rPr>
      </w:pPr>
    </w:p>
    <w:p w:rsidR="00B75B05" w:rsidRPr="00B75B05" w:rsidRDefault="00B75B05" w:rsidP="00B75B05">
      <w:pPr>
        <w:autoSpaceDE w:val="0"/>
        <w:autoSpaceDN w:val="0"/>
        <w:adjustRightInd w:val="0"/>
        <w:spacing w:after="0" w:line="240" w:lineRule="auto"/>
        <w:ind w:firstLine="840"/>
        <w:jc w:val="center"/>
        <w:rPr>
          <w:rFonts w:ascii="Times New Roman" w:eastAsia="Times New Roman" w:hAnsi="Times New Roman" w:cs="Times New Roman"/>
          <w:b/>
          <w:bCs/>
          <w:color w:val="FF0000"/>
          <w:w w:val="115"/>
          <w:sz w:val="28"/>
          <w:szCs w:val="28"/>
          <w:lang w:eastAsia="ru-RU"/>
        </w:rPr>
      </w:pPr>
    </w:p>
    <w:p w:rsidR="00B75B05" w:rsidRPr="00B75B05" w:rsidRDefault="00B75B05" w:rsidP="00B75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соответствии с подпунктом 10 пункта 3.3 статьи 32 </w:t>
      </w:r>
      <w:bookmarkStart w:id="3" w:name="_Hlk110413322"/>
      <w:r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Федерального закон</w:t>
      </w:r>
      <w:bookmarkEnd w:id="3"/>
      <w:r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 от 12.01.1996 № 7-ФЗ «О некоммерческих организациях» и приказом Министерства финансов Российской Федерации</w:t>
      </w:r>
      <w:r w:rsidR="005C5519" w:rsidRPr="005C55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 02.11.2021 № 171н </w:t>
      </w:r>
      <w:r w:rsidR="00CA2013" w:rsidRPr="00CA20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</w:t>
      </w:r>
      <w:r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«Об утверждении общих требований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имущества», руководствуясь статьей 17 Федерального закона «О прокуратуре Российской Федерации»,</w:t>
      </w:r>
    </w:p>
    <w:p w:rsidR="00B75B05" w:rsidRPr="00B75B05" w:rsidRDefault="00B75B05" w:rsidP="00B75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</w:p>
    <w:p w:rsidR="00B75B05" w:rsidRPr="00B75B05" w:rsidRDefault="00B75B05" w:rsidP="00B75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B75B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П Р И К А З Ы В А Ю:</w:t>
      </w:r>
    </w:p>
    <w:p w:rsidR="00B75B05" w:rsidRPr="00B75B05" w:rsidRDefault="00B75B05" w:rsidP="00B75B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w w:val="115"/>
          <w:sz w:val="28"/>
          <w:szCs w:val="28"/>
          <w:lang w:eastAsia="ru-RU"/>
        </w:rPr>
      </w:pPr>
    </w:p>
    <w:p w:rsidR="00B75B05" w:rsidRPr="00B75B05" w:rsidRDefault="00B75B05" w:rsidP="005C55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1. Утвердить прилагаемый Порядок составления и утверждения отчета о результатах деятельности федеральных государственных бюджетных учреждений, подведомственных Генеральной прокуратуре Российской Федерации, и об использовании закрепленного за ними государственного имущества (далее </w:t>
      </w:r>
      <w:r w:rsidR="005C551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соответственно </w:t>
      </w:r>
      <w:r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– Порядок, отчет).</w:t>
      </w:r>
    </w:p>
    <w:p w:rsidR="00B75B05" w:rsidRPr="00B75B05" w:rsidRDefault="00B75B05" w:rsidP="005C55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2. Признать утратившим силу приказ Генерального прокурора Российской Федерации от 09.08.2011 </w:t>
      </w:r>
      <w:r w:rsidR="002310C4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№</w:t>
      </w:r>
      <w:r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26-75 «Об утверждении </w:t>
      </w:r>
      <w:r w:rsidR="005C551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п</w:t>
      </w:r>
      <w:r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орядка составления и утверждения отчета о результатах деятельности федерального бюджетного учреждения, подведомственного Генеральной прокуратуре Российской Федерации, и об использовании закрепленного за ним федерального имущества».</w:t>
      </w:r>
    </w:p>
    <w:p w:rsidR="00B75B05" w:rsidRPr="00B75B05" w:rsidRDefault="00B75B05" w:rsidP="005C55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3. Настоящий </w:t>
      </w:r>
      <w:r w:rsidR="005C551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п</w:t>
      </w:r>
      <w:r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риказ вступает в силу с 01.01.2023</w:t>
      </w:r>
      <w:r w:rsidR="00FA58BC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и применяется начиная с представления отчета за 2022 год, за исключением абзаца второго пункта 4 Порядка, который применяется начиная с представления отчета за 2023 год.</w:t>
      </w:r>
    </w:p>
    <w:p w:rsidR="00B75B05" w:rsidRPr="00B75B05" w:rsidRDefault="000D3709" w:rsidP="005C55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4</w:t>
      </w:r>
      <w:r w:rsidR="00B75B05"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.</w:t>
      </w:r>
      <w:r w:rsidR="00B75B05" w:rsidRPr="00B75B05">
        <w:rPr>
          <w:rFonts w:ascii="Times New Roman" w:eastAsia="Times New Roman" w:hAnsi="Times New Roman" w:cs="Times New Roman"/>
          <w:bCs/>
          <w:color w:val="000000" w:themeColor="text1"/>
          <w:w w:val="115"/>
          <w:sz w:val="28"/>
          <w:szCs w:val="28"/>
          <w:lang w:eastAsia="ru-RU"/>
        </w:rPr>
        <w:t> </w:t>
      </w:r>
      <w:r w:rsidR="00B75B05"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Контроль за исполнением настоящего приказа возложить на заместителя Генерального прокурора Российской Федерации Лопатина Г.Б.</w:t>
      </w:r>
    </w:p>
    <w:p w:rsidR="00B75B05" w:rsidRPr="00B75B05" w:rsidRDefault="00B75B05" w:rsidP="005C5519">
      <w:pPr>
        <w:spacing w:after="0" w:line="249" w:lineRule="auto"/>
        <w:ind w:right="1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Приказ направить заместителям Генерального прокурора Российской Федерации, </w:t>
      </w:r>
      <w:r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начальнику Главного управления обеспечения деятельности органов и организаций прокуратуры</w:t>
      </w:r>
      <w:r w:rsidR="005C55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Генеральной прокуратуры Российской Федерации</w:t>
      </w:r>
      <w:r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bookmarkStart w:id="4" w:name="_Hlk110414679"/>
      <w:r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директору ФГБУ «Санаторий работников органов прокуратуры Российской Федерации «Истра», </w:t>
      </w:r>
      <w:bookmarkEnd w:id="4"/>
      <w:r w:rsidRPr="00B75B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директору ФГБУ «Санаторий работников органов прокуратуры Российской Федерации «Электроника», директору ФГБУ «Санаторий работников органов прокуратуры Российской Федерации «Россия».</w:t>
      </w:r>
    </w:p>
    <w:p w:rsidR="000E5875" w:rsidRDefault="000E5875" w:rsidP="000E5875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E5875" w:rsidRDefault="000E5875" w:rsidP="000E5875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75B05" w:rsidRPr="00B75B05" w:rsidRDefault="00B75B05" w:rsidP="000E5875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Генеральный прокурор</w:t>
      </w:r>
    </w:p>
    <w:p w:rsidR="00B75B05" w:rsidRPr="00B75B05" w:rsidRDefault="00B75B05" w:rsidP="000E5875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Российской Федерации</w:t>
      </w:r>
    </w:p>
    <w:p w:rsidR="00B75B05" w:rsidRPr="00B75B05" w:rsidRDefault="00B75B05" w:rsidP="000E5875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75B05" w:rsidRPr="00B75B05" w:rsidRDefault="00B75B05" w:rsidP="000E5875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действительный государственный </w:t>
      </w:r>
    </w:p>
    <w:p w:rsidR="00B75B05" w:rsidRPr="00B75B05" w:rsidRDefault="00B75B05" w:rsidP="000E5875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советник юстиции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И.В. Краснов</w:t>
      </w:r>
    </w:p>
    <w:p w:rsidR="00BD1484" w:rsidRDefault="00BD1484" w:rsidP="00BD1484">
      <w:pPr>
        <w:spacing w:after="0" w:line="240" w:lineRule="exact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</w:p>
    <w:p w:rsidR="00BD1484" w:rsidRDefault="00BD1484" w:rsidP="00BD1484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BD1484" w:rsidRDefault="00BD1484" w:rsidP="00BD1484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BD1484" w:rsidRDefault="00BD1484" w:rsidP="00BD1484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B75B05" w:rsidRPr="00B75B05" w:rsidRDefault="00B75B05" w:rsidP="00BD1484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___</w:t>
      </w:r>
    </w:p>
    <w:p w:rsidR="00B75B05" w:rsidRPr="00B75B05" w:rsidRDefault="00B75B05" w:rsidP="00B75B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75B05" w:rsidRDefault="00B75B05" w:rsidP="00B75B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1484" w:rsidRDefault="00BD1484" w:rsidP="00B75B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1484" w:rsidRDefault="00BD1484" w:rsidP="00B75B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1484" w:rsidRDefault="00BD1484" w:rsidP="00B75B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1484" w:rsidRDefault="00BD1484" w:rsidP="00B75B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1484" w:rsidRDefault="00BD1484" w:rsidP="00B75B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1484" w:rsidRDefault="00BD1484" w:rsidP="00B75B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1484" w:rsidRDefault="00BD1484" w:rsidP="00B75B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1484" w:rsidRDefault="00BD1484" w:rsidP="00B75B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1484" w:rsidRDefault="00BD1484" w:rsidP="00B75B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1484" w:rsidRDefault="00BD1484" w:rsidP="00B75B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1484" w:rsidRDefault="00BD1484" w:rsidP="00B75B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1484" w:rsidRDefault="00BD1484" w:rsidP="00B75B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1484" w:rsidRDefault="00BD1484" w:rsidP="00B75B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1484" w:rsidRDefault="00BD1484" w:rsidP="00B75B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1484" w:rsidRDefault="00BD1484" w:rsidP="00B75B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1484" w:rsidRDefault="00BD1484" w:rsidP="00B75B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1484" w:rsidRDefault="00BD1484" w:rsidP="00B75B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1484" w:rsidRDefault="00BD1484" w:rsidP="00B75B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1484" w:rsidRDefault="00BD1484" w:rsidP="00B75B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1484" w:rsidRDefault="00BD1484" w:rsidP="00B75B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1484" w:rsidRDefault="00BD1484" w:rsidP="00B75B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1484" w:rsidRDefault="00BD1484" w:rsidP="00B75B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1484" w:rsidRDefault="00BD1484" w:rsidP="00B75B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1484" w:rsidRDefault="00BD1484" w:rsidP="00B75B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1484" w:rsidRDefault="00BD1484" w:rsidP="00B75B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1484" w:rsidRDefault="00BD1484" w:rsidP="00BD1484">
      <w:pPr>
        <w:spacing w:after="0" w:line="240" w:lineRule="exact"/>
        <w:ind w:left="510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bookmarkStart w:id="5" w:name="_Hlk110938182"/>
      <w:r w:rsidRPr="001A78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УТВЕРЖДЕН            </w:t>
      </w:r>
    </w:p>
    <w:p w:rsidR="00BD1484" w:rsidRDefault="00BD1484" w:rsidP="00BD1484">
      <w:pPr>
        <w:spacing w:after="0" w:line="240" w:lineRule="exact"/>
        <w:ind w:left="510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BD1484" w:rsidRPr="001A7847" w:rsidRDefault="00BD1484" w:rsidP="00BD1484">
      <w:pPr>
        <w:spacing w:after="0" w:line="240" w:lineRule="exact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78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приказом Генерального прокурора Российской Федерации </w:t>
      </w:r>
    </w:p>
    <w:p w:rsidR="00BD1484" w:rsidRPr="001A7847" w:rsidRDefault="00BD1484" w:rsidP="00BD1484">
      <w:pPr>
        <w:spacing w:after="0" w:line="240" w:lineRule="exact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78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Pr="001A78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</w:p>
    <w:bookmarkEnd w:id="5"/>
    <w:p w:rsidR="00BD1484" w:rsidRDefault="00BD1484" w:rsidP="00B75B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1484" w:rsidRDefault="00BD1484" w:rsidP="00B75B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75B05" w:rsidRPr="00BD1484" w:rsidRDefault="00BD1484" w:rsidP="00055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D14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ПОРЯДОК</w:t>
      </w:r>
    </w:p>
    <w:p w:rsidR="00B75B05" w:rsidRPr="00BD1484" w:rsidRDefault="00B75B05" w:rsidP="00B75B0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D14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составления и утверждения отчета о результатах деятельности федеральных государственных бюджетных учреждений, подведомственных Генеральной прокуратуре Российской Федерации, и об использовании закрепленного за ними государственного имущества</w:t>
      </w:r>
    </w:p>
    <w:p w:rsidR="00B75B05" w:rsidRPr="00B75B05" w:rsidRDefault="00B75B05" w:rsidP="00B75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75B05" w:rsidRPr="00B75B05" w:rsidRDefault="00B75B05" w:rsidP="00B75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6" w:name="_Hlk110417493"/>
      <w:r w:rsidRPr="00B75B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Общие положения</w:t>
      </w:r>
    </w:p>
    <w:bookmarkEnd w:id="6"/>
    <w:p w:rsidR="00B75B05" w:rsidRPr="00B75B05" w:rsidRDefault="00B75B05" w:rsidP="00B75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75B05" w:rsidRPr="00B75B05" w:rsidRDefault="00B75B05" w:rsidP="00B75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Настоящий </w:t>
      </w:r>
      <w:r w:rsidR="00BD1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орядок разработан в соответствии с подпунктом 10 пункта 3.3 статьи 32 Федерального закона от 12.01.1996 № 7-ФЗ </w:t>
      </w:r>
      <w:r w:rsidR="00BD1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 некоммерческих организациях», а также на основании приказа Министерства финансов Российской Федерации</w:t>
      </w:r>
      <w:r w:rsidR="00BD1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02.11.2021 № 171н </w:t>
      </w:r>
      <w:r w:rsidR="001F5C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«Об утверждении общих требований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имущества» и устанавливает правила составления и утверждения отчета о результатах деятельности </w:t>
      </w:r>
      <w:bookmarkStart w:id="7" w:name="_Hlk112847207"/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федеральных государственных бюджетных учреждений, подведомственных Генеральной прокуратуре Российской Федерации</w:t>
      </w:r>
      <w:bookmarkEnd w:id="7"/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 об использовании закрепленного за ними государственного имущества</w:t>
      </w:r>
      <w:r w:rsidR="001F5C15" w:rsidRPr="00055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F5C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соответственно – отчет, учреждения)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75B05" w:rsidRPr="00B75B05" w:rsidRDefault="00B75B05" w:rsidP="00B75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2. Отчет составляется </w:t>
      </w:r>
      <w:r w:rsidR="003B055D" w:rsidRPr="003B0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</w:t>
      </w:r>
      <w:r w:rsidR="003B0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ями</w:t>
      </w:r>
      <w:r w:rsidR="003B055D" w:rsidRPr="003B0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B0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</w:t>
      </w:r>
      <w:r w:rsidR="003B0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B0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орядк</w:t>
      </w:r>
      <w:r w:rsidR="003B0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="001F5C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валюте Российской Федерации 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состоянию на 1 января года, следующего за отчетным.</w:t>
      </w:r>
    </w:p>
    <w:p w:rsidR="00B75B05" w:rsidRPr="00B75B05" w:rsidRDefault="00B75B05" w:rsidP="00B75B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Отчет, не содержащий сведени</w:t>
      </w:r>
      <w:r w:rsidR="003B0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составляющи</w:t>
      </w:r>
      <w:r w:rsidR="003B0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государственную тайну или иную охраняемую законом тайну, составляется и утверждается учреждениями в государственной интегрированной информационной системе управления общественными финансами «Электронный бюджет» (далее </w:t>
      </w:r>
      <w:r w:rsidR="003B0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система «Электронный бюджет») в форме электронных документов, подписываемых усиленной квалифицированной электронной подписью лица, уполномоченного действовать от имени учреждения.</w:t>
      </w:r>
    </w:p>
    <w:p w:rsidR="00B75B05" w:rsidRPr="00B75B05" w:rsidRDefault="00B75B05" w:rsidP="00B75B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Сведения о выполнении государственного задания учреждениями формируются на основании данных системы «Электронный бюджет».</w:t>
      </w:r>
    </w:p>
    <w:p w:rsidR="00B75B05" w:rsidRPr="00FA58BC" w:rsidRDefault="00B75B05" w:rsidP="00FA58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о составе имущественного комплекса в части недвижимого имущества учреждений и особо ценного движимого имущества учреждений формируются на основании данных федеральной государственной информационно-аналитической системы «Единая система управления государственным имуществом»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footnoteReference w:id="1"/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bookmarkStart w:id="8" w:name="_Hlk110417521"/>
    </w:p>
    <w:bookmarkEnd w:id="8"/>
    <w:p w:rsidR="00B75B05" w:rsidRPr="00B75B05" w:rsidRDefault="00B75B05" w:rsidP="00B75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Требования к </w:t>
      </w:r>
      <w:r w:rsidR="001F5C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</w:t>
      </w:r>
      <w:r w:rsidR="001F5C15" w:rsidRPr="00B75B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тчету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Pr="00B75B0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Отчет должен </w:t>
      </w:r>
      <w:r w:rsidR="003B0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содержать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 1 «Результаты деятельности»;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 2 «Использование имущества, закрепленного за учреждением».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В разделе 1 «Результаты деятельности» </w:t>
      </w:r>
      <w:r w:rsidR="003B0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приводятся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отчет о выполнении государственного (муниципального) задания на оказание государственных (муниципальных) услуг (выполнение </w:t>
      </w:r>
      <w:proofErr w:type="gramStart"/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работ) </w:t>
      </w:r>
      <w:r w:rsidR="003B0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proofErr w:type="gramEnd"/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</w:t>
      </w:r>
      <w:r w:rsidR="003B0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государственное (муниципальное) задание);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об оказываемых услугах, выполняемых работах сверх установленного государственного (муниципального) задания, а также выпускаемой продукции, формируемые в соответствии с пунктом 9 настоящего Порядка;</w:t>
      </w:r>
    </w:p>
    <w:p w:rsidR="00B75B05" w:rsidRPr="00954F83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4F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сведения о доходах учреждения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учреждению, формируемые в соответствии с пунктом </w:t>
      </w:r>
      <w:r w:rsidR="00954F83" w:rsidRPr="00954F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954F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Порядка;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о просроченной кредиторской задолженности, формируемые в соответствии с пунктом 1</w:t>
      </w:r>
      <w:r w:rsidR="00954F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Порядка;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сведения о задолженности по ущербу, недостачам, хищениям денежных средств и материальных ценностей, формируемые в соответствии </w:t>
      </w:r>
      <w:r w:rsidR="003B0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пунктом 1</w:t>
      </w:r>
      <w:r w:rsidR="00954F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Порядка;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сведения о численности сотрудников и </w:t>
      </w:r>
      <w:r w:rsidR="003B0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оплате труда, формируемые в соответствии с пунктом 1</w:t>
      </w:r>
      <w:r w:rsidR="00954F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Порядка;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о счетах учреждения, открытых в кредитных организациях, формируемые в соответствии с пунктом 1</w:t>
      </w:r>
      <w:r w:rsidR="00954F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Порядка.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В разделе 2 «Использование имущества, закрепленного за учреждением» указываются: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сведения о недвижимом имуществе, за исключением земельных участков (далее </w:t>
      </w:r>
      <w:r w:rsidR="003B0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сведения о недвижимом имуществе), закрепленном на праве оперативного управления, формируемые в соответствии с пунктом 1</w:t>
      </w:r>
      <w:r w:rsidR="00954F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Порядка;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сведения о земельных участках, предоставленных на праве постоянного (бессрочного) пользования (далее </w:t>
      </w:r>
      <w:r w:rsidR="003B0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сведения об использовании земельных участков), формируемые в соответствии с пунктом 1</w:t>
      </w:r>
      <w:r w:rsidR="00954F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Порядка;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о недвижимом имуществе, используемом по договору аренды, формируемые в соответствии с пунктом 1</w:t>
      </w:r>
      <w:r w:rsidR="00954F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Порядка;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о недвижимом имуществе, используемом по договору безвозмездного пользования (договору ссуды), формируемые в соответствии с пунктом 1</w:t>
      </w:r>
      <w:r w:rsidR="00954F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Порядка;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об особо ценном движимом имуществе (за исключением транспортных средств), формируемые в соответствии с пунктом 1</w:t>
      </w:r>
      <w:r w:rsidR="00954F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Порядка;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сведения о транспортных средствах, формируемые в соответствии с 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пунктом </w:t>
      </w:r>
      <w:r w:rsidR="00954F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Порядка.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Порядок формирования сведений, включаемых в </w:t>
      </w:r>
      <w:r w:rsidR="003B05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</w:t>
      </w:r>
      <w:r w:rsidRPr="00B75B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тчет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Отчет о выполнении государственного (муниципального) задания должен включать сведения о государственных (муниципальных) услугах и работах, включенных в государственное (муниципальное) задание (показатель, характеризующий содержание государственной (муниципальной) услуги (работы), плановые показатели объема государственной (муниципальной) услуги (работы), показатели объема оказанных</w:t>
      </w:r>
      <w:r w:rsidR="003B0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отчетную дату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государственных (муниципальных) услуг (выполненных работ), причин</w:t>
      </w:r>
      <w:r w:rsidR="003B0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отклонения от установленных плановых показателей объема государственной (муниципальной) услуги (работы).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В сведениях об оказываемых услугах, выполняемых работах сверх установленного государственного (муниципального) задания, а также выпускаемой продукции должн</w:t>
      </w:r>
      <w:r w:rsidR="003B0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отражаться </w:t>
      </w:r>
      <w:r w:rsidR="002D79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данные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государственных (муниципальных) услугах (работах), оказываемых (выполняемых) за плату, включая сведения об иных видах деятельности, не относящихся к основным, с указанием информации о показателях объема оказанных государственных (муниципальных) услуг (выполненных работ, произведенной продукции), доходах, полученных учреждением от оказания платных государственных (муниципальных) услуг (выполнения работ), ценах (тарифах) на платные государственные (муниципальные) услуги (работы), </w:t>
      </w:r>
      <w:r w:rsidR="001F5C15"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оказываемы</w:t>
      </w:r>
      <w:r w:rsidR="001F5C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1F5C15"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1F5C15"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выполняемы</w:t>
      </w:r>
      <w:r w:rsidR="001F5C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потребителям за плату, а также справочная информация о реквизитах акта, которым установлены указанные цены (тарифы).</w:t>
      </w:r>
    </w:p>
    <w:p w:rsidR="00B75B05" w:rsidRPr="00954F83" w:rsidRDefault="006D7CCA" w:rsidP="006D7CC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4F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10. </w:t>
      </w:r>
      <w:r w:rsidR="00B75B05" w:rsidRPr="00954F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сведениях о доходах учреждения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учреждению, должна отражаться информация о наименовании организации (предприятия) с долей участия учреждения во вкладе в уставном (складочном) капитале с указанием идентификационного номера налогоплательщика, кода по Общероссийскому классификатору организационно-правовых форм, даты создания, основного вида деятельности, суммы вложений в уставный капитал, вида вложений (денежные средства, имущество, право пользования нематериальными активами), дохода (части прибыли (дивидендов) хозяйственного товарищества, общества), приходящ</w:t>
      </w:r>
      <w:r w:rsidR="002D79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егося</w:t>
      </w:r>
      <w:r w:rsidR="00B75B05" w:rsidRPr="00954F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получению учреждением за отчетный период, а также о задолженности перед учреждением по перечислению части прибыли (дивидендов) на начало года и конец отчетного периода.</w:t>
      </w:r>
    </w:p>
    <w:p w:rsidR="00B75B05" w:rsidRPr="00954F83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4F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отсутствии у учреждения вкладов в уставные (складочные) капиталы сведения, указанные в абзаце первом настоящего пункта, не формируются</w:t>
      </w:r>
      <w:r w:rsidR="006D7CCA" w:rsidRPr="00954F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54F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сведениях о просроченной кредиторской задолженности должна отражаться информация об объеме просроченной кредиторской 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задолженности на начало года и конец отчетного периода, </w:t>
      </w:r>
      <w:r w:rsidR="002D79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предельно допустимых значениях просроченной кредиторской задолженности, установленных приказом Генерального прокурора Российской Федерации </w:t>
      </w:r>
      <w:r w:rsidR="002D79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01.09.2011 № 269 «О порядке определения предельно допустимого значения просроченной кредиторской задолженности федерального бюджетного учреждения, подведомственного Генеральной прокуратуре Российской Федерации, превышение которого влечет расторжение трудового договора с руководителем федерального бюджетного учреждения по инициативе работодателя в соответствии с Трудовым кодексом Российской Федерации»,</w:t>
      </w:r>
      <w:r w:rsidR="002D79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изменении кредиторской задолженности за отчетный период в абсолютной величине и в процентах от общей суммы просроченной задолженности, а также</w:t>
      </w:r>
      <w:r w:rsidR="002D79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причине образования кредиторской задолженности и мерах, принимаемых по ее погашению.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54F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сведениях о задолженности по ущербу, недостачам, хищениям денежных средств и материальных ценностей должна отражаться информация о задолженности контрагентов по возмещению ущерба на начало года и конец отчетного периода, </w:t>
      </w:r>
      <w:r w:rsidR="002D79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общей сумме нанесенного ущерба, выявленных недостач, хищений с указанием сумм, по которым виновные лица не установлены, сумм возмещенного ущерба, включая </w:t>
      </w:r>
      <w:r w:rsidR="002D79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данные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возмещении ущерба по решению суда и страховыми организациями, а также сумм списанного ущерба.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сведениях о задолженности по ущербу, недостачам, хищениям денежных средств и материальных ценностей также отражается информация об ущербе материальным ценностям (</w:t>
      </w:r>
      <w:r w:rsidR="002D79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порче имущества), </w:t>
      </w:r>
      <w:r w:rsidR="002D79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сумме предварительных оплат, не </w:t>
      </w:r>
      <w:r w:rsidR="00EC332E"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возвращенны</w:t>
      </w:r>
      <w:r w:rsidR="00EC3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EC332E"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контрагентом в случае </w:t>
      </w:r>
      <w:r w:rsidR="00EC3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расторжения договоров (контрактов, соглашений), в том числе по решению суда, сумме задолженности подотчетных лиц, своевременно не возвращенной (не удержанной из заработной платы), а также</w:t>
      </w:r>
      <w:r w:rsidR="002D79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сумме неустойки (штрафов, пеней) в связи с нарушением контрагентом условий договоров (контрактов, соглашений).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54F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сведениях о численности сотрудников и </w:t>
      </w:r>
      <w:r w:rsidR="002D79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оплате труда должн</w:t>
      </w:r>
      <w:r w:rsidR="002D79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отражаться </w:t>
      </w:r>
      <w:r w:rsidR="00DE7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данные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штатной численности (установлено штатным расписанием, замещено, вакантно) на начало года и конец отчетного периода, средней численности сотрудников за отчетный период с указанием численности сотрудников, работающих по основному месту работы, на условиях внутреннего совместительства, внешнего совместительства, а также информация о численности сотрудников, выполняющих работу без заключения трудового договора (по договорам гражданско-правового характера).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о численности сотрудников формируются по группам (категориям) персонала, включая административно-управленческий, основной</w:t>
      </w:r>
      <w:r w:rsidR="00DE7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вспомогательный</w:t>
      </w:r>
      <w:r w:rsidR="00DE7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E745A" w:rsidRPr="00DE7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персонал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Информация о численности административно-управленческого персонала формируется с указанием численности заместителей руководителя 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учреждения, руководителей структурных подразделений, а </w:t>
      </w:r>
      <w:r w:rsidRPr="00FA5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 работников, осуществляющих правовое и кадровое обеспечение деятельности учреждения, ведение бухгалтерского, налогового (управленческого) учета, </w:t>
      </w:r>
      <w:r w:rsidR="00DE7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работников </w:t>
      </w:r>
      <w:r w:rsidRPr="00FA5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финансово-экономических служб, работников, осуществляющих информационно-техническое обеспечение деятельности и ведение делопроизводства.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Информация о численности основного персонала формируется с указанием численности категорий работников, установленных Указом Президента Российской Федерации от 07.05.2012 № 597 «О мероприятиях по реализации государственной социальной политики». 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Сведения об оплате труда формируются по группам (категориям) персонала с обособлением информации об оплате труда </w:t>
      </w:r>
      <w:r w:rsidR="00DE7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сотрудников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работающих по основному месту работы, в том числе занятых на условиях полного и неполного рабочего времени, внутреннего совместительства, внешнего совместительства, а также </w:t>
      </w:r>
      <w:r w:rsidR="00DE7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выплате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вознаграждения лицам, выполняющим работу без заключения трудового договора (по договорам гражданско-правового характера).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54F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сведениях о счетах учреждения, открытых в кредитных организациях, должна отражаться информация о номерах счетов, открытых в кредитных организациях в валюте Российской Федерации и иностранной валюте (при наличии), с указанием вида счета, реквизитов акта, в соответствии с которым открыт счет в кредитной организации, остатка средств на счете на начало года и конец отчетного периода.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54F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сведениях о недвижимом имуществе, закрепленном на праве оперативного управления, должна отражаться информация, содержащая перечень объектов недвижимого имущества, закрепленного за учреждением на праве оперативного управления, с указанием адреса, кадастрового номера, года постройки, основных технических характеристик объекта (общая площадь объекта, длина (протяженность) линейного объекта, глубина объекта, объем объекта), </w:t>
      </w:r>
      <w:r w:rsidR="00DE7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данных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имуществе, используемом учреждением для осуществления основной деятельности и иных целей, не используемом учреждением, переданном в аренду, в безвозмездное пользование, не используемом в связи с проводимым капитальным ремонтом или реконструкцией, находящемся в аварийном состоянии, требующем ремонта</w:t>
      </w:r>
      <w:r w:rsidR="00DE7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</w:t>
      </w:r>
      <w:r w:rsidR="00DE7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имуществе, в отношении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которого осуществляется согласование решения о списании.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Дополнительно в сведения о недвижимом имуществе, закрепленном на праве оперативного управления, включается информация о фактических расходах на оплату коммунальных услуг,</w:t>
      </w:r>
      <w:r w:rsidR="00DE7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содержание указанного имущества, уплату налогов, в качестве объекта налогообложения по которым признается указанное имущество, с указанием расходов, возмещаемых пользователями имущества.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о недвижимом имуществе, закрепленном на праве оперативного управления за учреждениями (перечень объектов, адрес</w:t>
      </w:r>
      <w:r w:rsidR="00DE7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кадастровы</w:t>
      </w:r>
      <w:r w:rsidR="00DE7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номер</w:t>
      </w:r>
      <w:r w:rsidR="00DE7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год</w:t>
      </w:r>
      <w:r w:rsidR="00DE7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постройки, технические характеристики), формируются на основании данных реестра федерального имущества.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54F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сведениях об использовании земельных участков должна отражаться информация, содержащая перечень земельных участков, предоставленных учреждению на праве постоянного (бессрочного) пользования, с указанием адреса, кадастрового номера, общей площади, </w:t>
      </w:r>
      <w:r w:rsidR="00DE7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данных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площади земельного участка (части земельного участка), используемой учреждением для осуществления основной деятельности и иных целей, не используемой учреждением, переданной в аренду, в безвозмездное пользование, не используемой по иным причинам, </w:t>
      </w:r>
      <w:r w:rsidR="00DE7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земельных участках, в отношении которых заключено соглашение об установлении сервитута.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Дополнительно в сведения об использовании земельных участков включается информация о фактических расходах на содержание земельных участков, включая эксплуатационные расходы и расходы на уплату земельного налога, в качестве объекта налогообложения по которым признаются указанные земельные участки, с указанием расходов, возмещаемых пользователями земельных участков.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об использовании земельных участков учреждениями (перечень объектов, адрес</w:t>
      </w:r>
      <w:r w:rsidR="00DE7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кадастровы</w:t>
      </w:r>
      <w:r w:rsidR="00DE7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номер</w:t>
      </w:r>
      <w:r w:rsidR="00DE7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площад</w:t>
      </w:r>
      <w:r w:rsidR="00DE7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формируются на основании данных реестра федерального имущества.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54F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сведениях о недвижимом имуществе, используемом по договору аренды, должна отражаться информация, содержащая перечень объектов недвижимого имущества, находящегося у учреждения в пользовании по договору аренды, с указанием наименования и адреса объекта, количества арендуемого имущества, наименования арендодателя с указанием идентификационного номера налогоплательщика и кода по классификации институциональных секторов экономики, срока пользования арендуемым имуществом, размера арендной платы, фактических расходов на содержание арендуемого имущества, направления использования арендуемого имущества, а также обоснование заключения договора аренды.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54F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сведениях о недвижимом имуществе, используемом по договору безвозмездного пользования (договору ссуды), должна отражаться информация, содержащая перечень объектов недвижимого имущества, находящегося у учреждения в пользовании по договору безвозмездного пользования (договору ссуды), с указанием наименования и адреса объекта, количества имущества, наименования ссудодателя с указанием идентификационного номера налогоплательщика и кода по классификации институциональных секторов экономики, срока пользования имуществом, фактических расходов на содержание имущества, направления использования имущества, а также обоснование заключения договора безвозмездного пользования (договор</w:t>
      </w:r>
      <w:r w:rsidR="00FE74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ссуды).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54F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сведения об особо ценном движимом имуществе (за исключением транспортных средств) включается информация о наличии особо ценного 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движимого имущества (по группам основных средств), балансовой стоимости и остаточной стоимости имущества.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Дополнительно в сведения об особо ценном движимом имуществе </w:t>
      </w:r>
      <w:r w:rsidR="00FE74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(за исключением транспортных средств) включается информация о фактических расходах на содержание имущества, включая расходы на техническое обслуживание, текущий и капитальный ремонт, обязательное и добровольное страхование указанного имущества, уплату налогов, в качестве объекта налогообложения по которым признается указанное имущество, заработную плату обслуживающего персонала, иные расходы.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Сведения об особо ценном движимом имуществе (за исключением транспортных средств) учреждений формируются на основании данных реестра федерального имущества. </w:t>
      </w:r>
    </w:p>
    <w:p w:rsidR="00B75B05" w:rsidRPr="00B75B05" w:rsidRDefault="00954F83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B75B05"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сведениях о транспортных средствах должна отражаться информация о транспортных средствах, используемых учреждением </w:t>
      </w:r>
      <w:r w:rsidR="00FE74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="00B75B05"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 детализацией по видам транспортных средств), в том числе на праве оперативного управления, по договору аренды и безвозмездного пользования (договору ссуды), с обособлением информации о транспортных средствах, используемых для осуществления основной деятельности и иных целей, в том числе</w:t>
      </w:r>
      <w:r w:rsidR="00FE74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</w:t>
      </w:r>
      <w:r w:rsidR="00B75B05"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обслуживания административно-управленческого персонала, доставки сотрудников к месту работы, для обеспечения перевозки людей </w:t>
      </w:r>
      <w:r w:rsidR="00FE74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B75B05"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(за исключением сотрудников), </w:t>
      </w:r>
      <w:r w:rsidR="00FE74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включая</w:t>
      </w:r>
      <w:r w:rsidR="00B75B05"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обучающихся, спортсменов, пациентов.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Дополнительно в сведения о транспортных средствах включается информация о фактических расходах на содержание транспортных средств, включая расходы на приобретение горюче-смазочных материалов, комплектующих,</w:t>
      </w:r>
      <w:r w:rsidR="00FE74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техническое обслуживание, ремонт, добровольное и обязательное страхование (включая страхование гражданской ответственности),</w:t>
      </w:r>
      <w:r w:rsidR="00FE74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содержание гаражей,</w:t>
      </w:r>
      <w:r w:rsidR="00FE74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выплату 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заработн</w:t>
      </w:r>
      <w:r w:rsidR="00FE74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плат</w:t>
      </w:r>
      <w:r w:rsidR="00FE74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(водителей, механиков, административно-управленческого персонала гаражей), уплату транспортного налога.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954F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Отчеты учреждений утверждаются и представляются на согласование в Главное управление обеспечения деятельности органов и организаций прокуратуры</w:t>
      </w:r>
      <w:r w:rsidR="003E6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Генеральной прокуратуры Российской Федерации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Главное управление) в системе «Электронный бюджет» в сроки, устанавливаемые для представления учреждениями годовой бухгалтерской отчетности.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954F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Главное управление рассматривает </w:t>
      </w:r>
      <w:r w:rsidR="003E6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тчет в течение 10 рабочих дней, следующих за</w:t>
      </w:r>
      <w:r w:rsidR="003E6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днем 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 представлени</w:t>
      </w:r>
      <w:r w:rsidR="003E6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 согласовывает его либо в случаях установления факта недостоверности сформированной учреждением информации и (или) представления указанной информации не в полном объеме направляет требование о доработке </w:t>
      </w:r>
      <w:r w:rsidR="003E6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отчета 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указанием причин, послуживших основанием для его доработки.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954F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случае отклонения </w:t>
      </w:r>
      <w:r w:rsidR="003E6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отчета 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Главным управлением </w:t>
      </w:r>
      <w:proofErr w:type="gramStart"/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учреждение  в</w:t>
      </w:r>
      <w:proofErr w:type="gramEnd"/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течение 5 рабочих дней со дня отклонения осуществляет его доработку и 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повторно направляет</w:t>
      </w:r>
      <w:r w:rsidR="003E6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отчет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согласование в Главное управление.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954F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3E6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Учреждение, имеющее обособленное подразделение, осуществляющее полномочия по ведению бухгалтерского учета, формирует </w:t>
      </w:r>
      <w:r w:rsidR="003E6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тчет на основании </w:t>
      </w:r>
      <w:r w:rsidR="003E6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тчета головного учреждения</w:t>
      </w:r>
      <w:r w:rsidR="003E6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сформированного без учета </w:t>
      </w:r>
      <w:r w:rsidR="003E6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тчетов обособленных подразделений</w:t>
      </w:r>
      <w:r w:rsidR="003E6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отчета обособленного подразделения.</w:t>
      </w: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954F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Показатели </w:t>
      </w:r>
      <w:r w:rsidR="003E6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B75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тчета, формируемые в денежном выражении, должны быть сопоставимы с показателями, включаемыми в состав бухгалтерской отчетности учреждений.</w:t>
      </w:r>
    </w:p>
    <w:p w:rsidR="00B75B05" w:rsidRPr="00B75B05" w:rsidRDefault="00B75B05" w:rsidP="00954F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left="5528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left="5528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left="5528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left="5528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left="5528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left="5528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left="5528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left="5528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left="5528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left="5528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left="5528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left="5528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left="5528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left="5528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left="5528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auto"/>
        <w:ind w:left="5528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exact"/>
        <w:ind w:left="5664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exact"/>
        <w:ind w:left="5664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exact"/>
        <w:ind w:left="5664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exact"/>
        <w:ind w:left="5664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exact"/>
        <w:ind w:left="5664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exact"/>
        <w:ind w:left="5664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exact"/>
        <w:ind w:left="5664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exact"/>
        <w:ind w:left="5664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exact"/>
        <w:ind w:left="5664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exact"/>
        <w:ind w:left="5664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exact"/>
        <w:ind w:left="5664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exact"/>
        <w:ind w:left="5664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exact"/>
        <w:ind w:left="5664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exact"/>
        <w:ind w:left="5664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75B05" w:rsidRDefault="00B75B05" w:rsidP="00B75B05">
      <w:pPr>
        <w:widowControl w:val="0"/>
        <w:autoSpaceDE w:val="0"/>
        <w:autoSpaceDN w:val="0"/>
        <w:adjustRightInd w:val="0"/>
        <w:spacing w:after="0" w:line="240" w:lineRule="exact"/>
        <w:ind w:left="5664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75B05" w:rsidRPr="00B75B05" w:rsidRDefault="00B75B05" w:rsidP="00B75B05">
      <w:pPr>
        <w:widowControl w:val="0"/>
        <w:autoSpaceDE w:val="0"/>
        <w:autoSpaceDN w:val="0"/>
        <w:adjustRightInd w:val="0"/>
        <w:spacing w:after="0" w:line="240" w:lineRule="exact"/>
        <w:ind w:left="5664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75B05" w:rsidRPr="00B75B05" w:rsidRDefault="00B75B05" w:rsidP="00B361A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sectPr w:rsidR="00B75B05" w:rsidRPr="00B75B05" w:rsidSect="00BC788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30C" w:rsidRDefault="0081430C" w:rsidP="00B75B05">
      <w:pPr>
        <w:spacing w:after="0" w:line="240" w:lineRule="auto"/>
      </w:pPr>
      <w:r>
        <w:separator/>
      </w:r>
    </w:p>
  </w:endnote>
  <w:endnote w:type="continuationSeparator" w:id="0">
    <w:p w:rsidR="0081430C" w:rsidRDefault="0081430C" w:rsidP="00B7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30C" w:rsidRDefault="0081430C" w:rsidP="00B75B05">
      <w:pPr>
        <w:spacing w:after="0" w:line="240" w:lineRule="auto"/>
      </w:pPr>
      <w:r>
        <w:separator/>
      </w:r>
    </w:p>
  </w:footnote>
  <w:footnote w:type="continuationSeparator" w:id="0">
    <w:p w:rsidR="0081430C" w:rsidRDefault="0081430C" w:rsidP="00B75B05">
      <w:pPr>
        <w:spacing w:after="0" w:line="240" w:lineRule="auto"/>
      </w:pPr>
      <w:r>
        <w:continuationSeparator/>
      </w:r>
    </w:p>
  </w:footnote>
  <w:footnote w:id="1">
    <w:p w:rsidR="00B75B05" w:rsidRPr="000E5875" w:rsidRDefault="00B75B05" w:rsidP="003B055D">
      <w:pPr>
        <w:pStyle w:val="ab"/>
        <w:ind w:left="709"/>
        <w:rPr>
          <w:rFonts w:ascii="Times New Roman" w:hAnsi="Times New Roman" w:cs="Times New Roman"/>
        </w:rPr>
      </w:pPr>
      <w:r w:rsidRPr="000E5875">
        <w:rPr>
          <w:rStyle w:val="aa"/>
          <w:rFonts w:ascii="Times New Roman" w:hAnsi="Times New Roman" w:cs="Times New Roman"/>
        </w:rPr>
        <w:footnoteRef/>
      </w:r>
      <w:r w:rsidRPr="000E5875">
        <w:rPr>
          <w:rFonts w:ascii="Times New Roman" w:hAnsi="Times New Roman" w:cs="Times New Roman"/>
        </w:rPr>
        <w:t xml:space="preserve"> Абз</w:t>
      </w:r>
      <w:r w:rsidR="003B055D">
        <w:rPr>
          <w:rFonts w:ascii="Times New Roman" w:hAnsi="Times New Roman" w:cs="Times New Roman"/>
        </w:rPr>
        <w:t xml:space="preserve">ац второй пункта </w:t>
      </w:r>
      <w:r w:rsidRPr="000E5875">
        <w:rPr>
          <w:rFonts w:ascii="Times New Roman" w:hAnsi="Times New Roman" w:cs="Times New Roman"/>
        </w:rPr>
        <w:t>4 применяется начиная с представления отчета за 2023 год</w:t>
      </w:r>
      <w:r w:rsidR="003B055D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37899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C788A" w:rsidRPr="000E5875" w:rsidRDefault="00BC788A">
        <w:pPr>
          <w:pStyle w:val="ad"/>
          <w:jc w:val="center"/>
          <w:rPr>
            <w:rFonts w:ascii="Times New Roman" w:hAnsi="Times New Roman" w:cs="Times New Roman"/>
          </w:rPr>
        </w:pPr>
        <w:r w:rsidRPr="000E5875">
          <w:rPr>
            <w:rFonts w:ascii="Times New Roman" w:hAnsi="Times New Roman" w:cs="Times New Roman"/>
          </w:rPr>
          <w:fldChar w:fldCharType="begin"/>
        </w:r>
        <w:r w:rsidRPr="000E5875">
          <w:rPr>
            <w:rFonts w:ascii="Times New Roman" w:hAnsi="Times New Roman" w:cs="Times New Roman"/>
          </w:rPr>
          <w:instrText>PAGE   \* MERGEFORMAT</w:instrText>
        </w:r>
        <w:r w:rsidRPr="000E5875">
          <w:rPr>
            <w:rFonts w:ascii="Times New Roman" w:hAnsi="Times New Roman" w:cs="Times New Roman"/>
          </w:rPr>
          <w:fldChar w:fldCharType="separate"/>
        </w:r>
        <w:r w:rsidR="00055B9E">
          <w:rPr>
            <w:rFonts w:ascii="Times New Roman" w:hAnsi="Times New Roman" w:cs="Times New Roman"/>
            <w:noProof/>
          </w:rPr>
          <w:t>2</w:t>
        </w:r>
        <w:r w:rsidRPr="000E5875">
          <w:rPr>
            <w:rFonts w:ascii="Times New Roman" w:hAnsi="Times New Roman" w:cs="Times New Roman"/>
          </w:rPr>
          <w:fldChar w:fldCharType="end"/>
        </w:r>
      </w:p>
    </w:sdtContent>
  </w:sdt>
  <w:p w:rsidR="00BC788A" w:rsidRDefault="00BC788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6F"/>
    <w:multiLevelType w:val="hybridMultilevel"/>
    <w:tmpl w:val="029E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15802"/>
    <w:multiLevelType w:val="hybridMultilevel"/>
    <w:tmpl w:val="2A069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8516C"/>
    <w:multiLevelType w:val="hybridMultilevel"/>
    <w:tmpl w:val="6B0C02F2"/>
    <w:lvl w:ilvl="0" w:tplc="011ABA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F5E"/>
    <w:rsid w:val="00013203"/>
    <w:rsid w:val="00025756"/>
    <w:rsid w:val="00030EFD"/>
    <w:rsid w:val="00031BB1"/>
    <w:rsid w:val="00054888"/>
    <w:rsid w:val="00055B9E"/>
    <w:rsid w:val="00092470"/>
    <w:rsid w:val="000B4F00"/>
    <w:rsid w:val="000D3709"/>
    <w:rsid w:val="000D6138"/>
    <w:rsid w:val="000D74C7"/>
    <w:rsid w:val="000E5875"/>
    <w:rsid w:val="00102E14"/>
    <w:rsid w:val="00115C15"/>
    <w:rsid w:val="001207FE"/>
    <w:rsid w:val="00124968"/>
    <w:rsid w:val="00134725"/>
    <w:rsid w:val="00145F06"/>
    <w:rsid w:val="00152590"/>
    <w:rsid w:val="00165401"/>
    <w:rsid w:val="00175995"/>
    <w:rsid w:val="001A2200"/>
    <w:rsid w:val="001A36CD"/>
    <w:rsid w:val="001B365B"/>
    <w:rsid w:val="001B46A7"/>
    <w:rsid w:val="001D5F5D"/>
    <w:rsid w:val="001E196A"/>
    <w:rsid w:val="001E6915"/>
    <w:rsid w:val="001F5C15"/>
    <w:rsid w:val="00201BA8"/>
    <w:rsid w:val="00203D15"/>
    <w:rsid w:val="002310C4"/>
    <w:rsid w:val="00285EFB"/>
    <w:rsid w:val="00291B87"/>
    <w:rsid w:val="002B4BA4"/>
    <w:rsid w:val="002C3ED3"/>
    <w:rsid w:val="002D5941"/>
    <w:rsid w:val="002D7904"/>
    <w:rsid w:val="00307F2A"/>
    <w:rsid w:val="00313494"/>
    <w:rsid w:val="00332FC0"/>
    <w:rsid w:val="00333A16"/>
    <w:rsid w:val="0034428A"/>
    <w:rsid w:val="0035791D"/>
    <w:rsid w:val="00361D8B"/>
    <w:rsid w:val="00362186"/>
    <w:rsid w:val="00392B9E"/>
    <w:rsid w:val="00396776"/>
    <w:rsid w:val="003A4DF5"/>
    <w:rsid w:val="003B055D"/>
    <w:rsid w:val="003D029B"/>
    <w:rsid w:val="003D0A68"/>
    <w:rsid w:val="003E64EA"/>
    <w:rsid w:val="004058DF"/>
    <w:rsid w:val="00412016"/>
    <w:rsid w:val="00421B72"/>
    <w:rsid w:val="004269A4"/>
    <w:rsid w:val="00452628"/>
    <w:rsid w:val="004549F4"/>
    <w:rsid w:val="00465392"/>
    <w:rsid w:val="004B2575"/>
    <w:rsid w:val="004D2A27"/>
    <w:rsid w:val="004D40A6"/>
    <w:rsid w:val="004D637D"/>
    <w:rsid w:val="004E133E"/>
    <w:rsid w:val="004F0451"/>
    <w:rsid w:val="004F4453"/>
    <w:rsid w:val="0052209E"/>
    <w:rsid w:val="00523810"/>
    <w:rsid w:val="0053192B"/>
    <w:rsid w:val="00533E85"/>
    <w:rsid w:val="00536DFC"/>
    <w:rsid w:val="00552CEE"/>
    <w:rsid w:val="00563396"/>
    <w:rsid w:val="005A5F9C"/>
    <w:rsid w:val="005C2216"/>
    <w:rsid w:val="005C269C"/>
    <w:rsid w:val="005C5519"/>
    <w:rsid w:val="005D427A"/>
    <w:rsid w:val="005E071A"/>
    <w:rsid w:val="005E18B0"/>
    <w:rsid w:val="005F37EC"/>
    <w:rsid w:val="00614808"/>
    <w:rsid w:val="00630794"/>
    <w:rsid w:val="00645585"/>
    <w:rsid w:val="00652370"/>
    <w:rsid w:val="0066509D"/>
    <w:rsid w:val="00671BAC"/>
    <w:rsid w:val="0068046C"/>
    <w:rsid w:val="00683B20"/>
    <w:rsid w:val="006A6ED7"/>
    <w:rsid w:val="006B4C34"/>
    <w:rsid w:val="006D7CCA"/>
    <w:rsid w:val="006E093A"/>
    <w:rsid w:val="006E38D0"/>
    <w:rsid w:val="006E4712"/>
    <w:rsid w:val="006F552A"/>
    <w:rsid w:val="007101A9"/>
    <w:rsid w:val="007130DA"/>
    <w:rsid w:val="0071543A"/>
    <w:rsid w:val="00722DAB"/>
    <w:rsid w:val="00785D34"/>
    <w:rsid w:val="007A1A71"/>
    <w:rsid w:val="007C0928"/>
    <w:rsid w:val="007E4259"/>
    <w:rsid w:val="00810406"/>
    <w:rsid w:val="0081430C"/>
    <w:rsid w:val="00832D02"/>
    <w:rsid w:val="00845A39"/>
    <w:rsid w:val="00845C97"/>
    <w:rsid w:val="00855216"/>
    <w:rsid w:val="00863CF2"/>
    <w:rsid w:val="00883016"/>
    <w:rsid w:val="00883CF9"/>
    <w:rsid w:val="00884E82"/>
    <w:rsid w:val="0088511C"/>
    <w:rsid w:val="00885F2B"/>
    <w:rsid w:val="0088601E"/>
    <w:rsid w:val="008A208B"/>
    <w:rsid w:val="008A4E9A"/>
    <w:rsid w:val="008C2C14"/>
    <w:rsid w:val="008D407B"/>
    <w:rsid w:val="008E4D48"/>
    <w:rsid w:val="00902689"/>
    <w:rsid w:val="009113AB"/>
    <w:rsid w:val="00931E28"/>
    <w:rsid w:val="00946100"/>
    <w:rsid w:val="00947307"/>
    <w:rsid w:val="009524FD"/>
    <w:rsid w:val="00954F83"/>
    <w:rsid w:val="0095651B"/>
    <w:rsid w:val="00973937"/>
    <w:rsid w:val="00987EB8"/>
    <w:rsid w:val="009C13B1"/>
    <w:rsid w:val="009C591D"/>
    <w:rsid w:val="009E0916"/>
    <w:rsid w:val="009E7308"/>
    <w:rsid w:val="009F3F35"/>
    <w:rsid w:val="009F69C8"/>
    <w:rsid w:val="00A07ED8"/>
    <w:rsid w:val="00A10702"/>
    <w:rsid w:val="00A227CA"/>
    <w:rsid w:val="00A53552"/>
    <w:rsid w:val="00AA304B"/>
    <w:rsid w:val="00AA73EE"/>
    <w:rsid w:val="00AB0F5E"/>
    <w:rsid w:val="00AB34C0"/>
    <w:rsid w:val="00AC3171"/>
    <w:rsid w:val="00B031FF"/>
    <w:rsid w:val="00B361A4"/>
    <w:rsid w:val="00B419B0"/>
    <w:rsid w:val="00B64FC3"/>
    <w:rsid w:val="00B752FD"/>
    <w:rsid w:val="00B75B05"/>
    <w:rsid w:val="00B82288"/>
    <w:rsid w:val="00B84478"/>
    <w:rsid w:val="00BA24D2"/>
    <w:rsid w:val="00BB5CB9"/>
    <w:rsid w:val="00BC02A2"/>
    <w:rsid w:val="00BC4368"/>
    <w:rsid w:val="00BC6498"/>
    <w:rsid w:val="00BC788A"/>
    <w:rsid w:val="00BD1484"/>
    <w:rsid w:val="00BD17EE"/>
    <w:rsid w:val="00BD6BB9"/>
    <w:rsid w:val="00BF1818"/>
    <w:rsid w:val="00C06917"/>
    <w:rsid w:val="00C14259"/>
    <w:rsid w:val="00C41F65"/>
    <w:rsid w:val="00C50DF0"/>
    <w:rsid w:val="00C52022"/>
    <w:rsid w:val="00C8278C"/>
    <w:rsid w:val="00CA2013"/>
    <w:rsid w:val="00CA7AFE"/>
    <w:rsid w:val="00CB4C8B"/>
    <w:rsid w:val="00CD1B39"/>
    <w:rsid w:val="00CD205C"/>
    <w:rsid w:val="00CF36BB"/>
    <w:rsid w:val="00D07975"/>
    <w:rsid w:val="00D403A3"/>
    <w:rsid w:val="00D62574"/>
    <w:rsid w:val="00D812FB"/>
    <w:rsid w:val="00D84171"/>
    <w:rsid w:val="00D940FA"/>
    <w:rsid w:val="00D9426B"/>
    <w:rsid w:val="00DB429E"/>
    <w:rsid w:val="00DC0B58"/>
    <w:rsid w:val="00DC4F27"/>
    <w:rsid w:val="00DC7DEC"/>
    <w:rsid w:val="00DD6010"/>
    <w:rsid w:val="00DE1C92"/>
    <w:rsid w:val="00DE1CB7"/>
    <w:rsid w:val="00DE745A"/>
    <w:rsid w:val="00DF1D9A"/>
    <w:rsid w:val="00DF4AE2"/>
    <w:rsid w:val="00E02331"/>
    <w:rsid w:val="00E10CD0"/>
    <w:rsid w:val="00E422DF"/>
    <w:rsid w:val="00E44D7D"/>
    <w:rsid w:val="00E53EDD"/>
    <w:rsid w:val="00E6185C"/>
    <w:rsid w:val="00E91E2D"/>
    <w:rsid w:val="00EA5BF3"/>
    <w:rsid w:val="00EB71C2"/>
    <w:rsid w:val="00EC0908"/>
    <w:rsid w:val="00EC332E"/>
    <w:rsid w:val="00ED16C7"/>
    <w:rsid w:val="00F03261"/>
    <w:rsid w:val="00F52510"/>
    <w:rsid w:val="00F574C4"/>
    <w:rsid w:val="00FA58BC"/>
    <w:rsid w:val="00FB1B21"/>
    <w:rsid w:val="00FC4ADA"/>
    <w:rsid w:val="00FE409F"/>
    <w:rsid w:val="00FE7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53524-CB09-4AB9-AD68-1155C578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247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2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259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01BA8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9C591D"/>
    <w:rPr>
      <w:color w:val="605E5C"/>
      <w:shd w:val="clear" w:color="auto" w:fill="E1DFDD"/>
    </w:rPr>
  </w:style>
  <w:style w:type="paragraph" w:styleId="a8">
    <w:name w:val="footnote text"/>
    <w:basedOn w:val="a"/>
    <w:link w:val="a9"/>
    <w:uiPriority w:val="99"/>
    <w:semiHidden/>
    <w:unhideWhenUsed/>
    <w:rsid w:val="00B75B05"/>
    <w:pPr>
      <w:spacing w:after="0" w:line="240" w:lineRule="auto"/>
    </w:pPr>
    <w:rPr>
      <w:rFonts w:ascii="Times New Roman" w:eastAsia="Times New Roman" w:hAnsi="Times New Roman" w:cs="Times New Roman"/>
      <w:bCs/>
      <w:w w:val="115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B75B05"/>
    <w:rPr>
      <w:rFonts w:ascii="Times New Roman" w:eastAsia="Times New Roman" w:hAnsi="Times New Roman" w:cs="Times New Roman"/>
      <w:bCs/>
      <w:w w:val="115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B75B05"/>
    <w:rPr>
      <w:vertAlign w:val="superscript"/>
    </w:rPr>
  </w:style>
  <w:style w:type="paragraph" w:styleId="ab">
    <w:name w:val="annotation text"/>
    <w:basedOn w:val="a"/>
    <w:link w:val="ac"/>
    <w:uiPriority w:val="99"/>
    <w:unhideWhenUsed/>
    <w:rsid w:val="00FA58B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FA58BC"/>
    <w:rPr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BC7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C788A"/>
  </w:style>
  <w:style w:type="paragraph" w:styleId="af">
    <w:name w:val="footer"/>
    <w:basedOn w:val="a"/>
    <w:link w:val="af0"/>
    <w:uiPriority w:val="99"/>
    <w:unhideWhenUsed/>
    <w:rsid w:val="00BC7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C7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1C541-6A03-4ABB-9CE7-EAC932CD1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10</Pages>
  <Words>3157</Words>
  <Characters>18000</Characters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2022-08-31T13:20:00Z</cp:lastPrinted>
  <dcterms:created xsi:type="dcterms:W3CDTF">2022-08-03T11:29:00Z</dcterms:created>
  <dcterms:modified xsi:type="dcterms:W3CDTF">2022-09-28T12:27:00Z</dcterms:modified>
</cp:coreProperties>
</file>