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Департамент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Белоостровская,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141832, Московская область, Дмитровский р-н, деревня Петраково, ДНТ «Строитель», уч. № 20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DC67FC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4841AB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141832, Московская область, Дмитровский р-н, деревня Петраково, ДНТ «Строитель», уч. № 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25648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1B227B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15.08.2010г.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Pr="006E06F6" w:rsidRDefault="004C2F08" w:rsidP="004C2F08">
            <w:pPr>
              <w:jc w:val="center"/>
              <w:rPr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Шкода Актавия, 2009</w:t>
            </w:r>
            <w:r w:rsidR="00324958" w:rsidRPr="006E06F6">
              <w:rPr>
                <w:b/>
                <w:sz w:val="22"/>
              </w:rPr>
              <w:t xml:space="preserve">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грузовые:</w:t>
            </w:r>
          </w:p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3E3D32" w:rsidRDefault="00324958" w:rsidP="001E7366">
            <w:pPr>
              <w:jc w:val="center"/>
            </w:pPr>
          </w:p>
          <w:p w:rsidR="00324958" w:rsidRPr="003E3D32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Мототранспорные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ДО Стромынское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№ 9038/1716, г.Москва, Ипатьевский пер., 4/10, стр. 1</w:t>
            </w:r>
          </w:p>
        </w:tc>
        <w:tc>
          <w:tcPr>
            <w:tcW w:w="1560" w:type="dxa"/>
          </w:tcPr>
          <w:p w:rsidR="00B97614" w:rsidRPr="006E06F6" w:rsidRDefault="004C2F08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ДО Стромынское 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№ 9038/1716, г.Москва, Ипатьевский пер., 4/10, стр. 1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г.Москва, </w:t>
            </w:r>
          </w:p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/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324958" w:rsidRDefault="00324958" w:rsidP="00324958"/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4841AB" w:rsidRPr="006E06F6">
              <w:rPr>
                <w:b/>
                <w:sz w:val="22"/>
              </w:rPr>
              <w:t xml:space="preserve"> Иванов</w:t>
            </w:r>
            <w:r w:rsidR="004C2F08" w:rsidRPr="006E06F6">
              <w:rPr>
                <w:b/>
                <w:sz w:val="22"/>
              </w:rPr>
              <w:t>ым П.И</w:t>
            </w:r>
            <w:r w:rsidR="004841AB" w:rsidRPr="006E06F6">
              <w:rPr>
                <w:b/>
                <w:sz w:val="22"/>
              </w:rPr>
              <w:t>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Белоостровская,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пр-д,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(созаемщик</w:t>
            </w:r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54C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ПАО «ВТБ24», г.Москва, </w:t>
            </w:r>
          </w:p>
          <w:p w:rsidR="00B754C6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r w:rsidR="00B754C6" w:rsidRPr="006E06F6">
              <w:rPr>
                <w:b/>
                <w:sz w:val="22"/>
              </w:rPr>
              <w:t>М</w:t>
            </w:r>
            <w:r w:rsidRPr="006E06F6">
              <w:rPr>
                <w:b/>
                <w:sz w:val="22"/>
              </w:rPr>
              <w:t>ясницкая,</w:t>
            </w:r>
          </w:p>
          <w:p w:rsidR="00324958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05.02.2014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1 500 000 / 1 150 000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19%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5B4430" w:rsidRDefault="005B4430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B0" w:rsidRDefault="003F38B0" w:rsidP="00324958">
      <w:r>
        <w:separator/>
      </w:r>
    </w:p>
  </w:endnote>
  <w:endnote w:type="continuationSeparator" w:id="0">
    <w:p w:rsidR="003F38B0" w:rsidRDefault="003F38B0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B0" w:rsidRDefault="003F38B0" w:rsidP="00324958">
      <w:r>
        <w:separator/>
      </w:r>
    </w:p>
  </w:footnote>
  <w:footnote w:type="continuationSeparator" w:id="0">
    <w:p w:rsidR="003F38B0" w:rsidRDefault="003F38B0" w:rsidP="00324958">
      <w:r>
        <w:continuationSeparator/>
      </w:r>
    </w:p>
  </w:footnote>
  <w:footnote w:id="1">
    <w:p w:rsidR="001E7366" w:rsidRPr="004841AB" w:rsidRDefault="001E7366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1E7366" w:rsidRDefault="001E7366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58"/>
    <w:rsid w:val="00006D8E"/>
    <w:rsid w:val="0002321A"/>
    <w:rsid w:val="000B5477"/>
    <w:rsid w:val="000B7E8C"/>
    <w:rsid w:val="000C1299"/>
    <w:rsid w:val="001063AF"/>
    <w:rsid w:val="00115A2A"/>
    <w:rsid w:val="001A05F6"/>
    <w:rsid w:val="001B227B"/>
    <w:rsid w:val="001B4918"/>
    <w:rsid w:val="001E7366"/>
    <w:rsid w:val="00242AE5"/>
    <w:rsid w:val="00256EE6"/>
    <w:rsid w:val="00280758"/>
    <w:rsid w:val="002B55FF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64D0D"/>
    <w:rsid w:val="00475549"/>
    <w:rsid w:val="004841AB"/>
    <w:rsid w:val="004C2F08"/>
    <w:rsid w:val="004D0210"/>
    <w:rsid w:val="004E2B86"/>
    <w:rsid w:val="0057602C"/>
    <w:rsid w:val="00582BDA"/>
    <w:rsid w:val="005B4430"/>
    <w:rsid w:val="00606720"/>
    <w:rsid w:val="00616291"/>
    <w:rsid w:val="00642597"/>
    <w:rsid w:val="006E06F6"/>
    <w:rsid w:val="00712979"/>
    <w:rsid w:val="0081406C"/>
    <w:rsid w:val="00840031"/>
    <w:rsid w:val="008A5870"/>
    <w:rsid w:val="008B6016"/>
    <w:rsid w:val="008C6D5E"/>
    <w:rsid w:val="008D74D4"/>
    <w:rsid w:val="008F5B92"/>
    <w:rsid w:val="008F6BF8"/>
    <w:rsid w:val="00A10EA0"/>
    <w:rsid w:val="00A757BB"/>
    <w:rsid w:val="00A97B54"/>
    <w:rsid w:val="00B024EB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56557"/>
    <w:rsid w:val="00C6534D"/>
    <w:rsid w:val="00CA1C76"/>
    <w:rsid w:val="00D123D6"/>
    <w:rsid w:val="00D36C9E"/>
    <w:rsid w:val="00D466CA"/>
    <w:rsid w:val="00D5193C"/>
    <w:rsid w:val="00DC67FC"/>
    <w:rsid w:val="00E12C57"/>
    <w:rsid w:val="00E505EA"/>
    <w:rsid w:val="00E81F24"/>
    <w:rsid w:val="00F15820"/>
    <w:rsid w:val="00F7323E"/>
    <w:rsid w:val="00FB4CE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A675D-4ECC-4590-9FE5-9F002A69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Татьяна</cp:lastModifiedBy>
  <cp:revision>2</cp:revision>
  <cp:lastPrinted>2015-02-24T11:36:00Z</cp:lastPrinted>
  <dcterms:created xsi:type="dcterms:W3CDTF">2015-12-15T18:09:00Z</dcterms:created>
  <dcterms:modified xsi:type="dcterms:W3CDTF">2015-12-15T18:09:00Z</dcterms:modified>
</cp:coreProperties>
</file>